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7A983" w14:textId="77777777" w:rsidR="004347F0" w:rsidRDefault="004347F0"/>
    <w:tbl>
      <w:tblPr>
        <w:tblW w:w="0" w:type="auto"/>
        <w:tblInd w:w="108" w:type="dxa"/>
        <w:tblLayout w:type="fixed"/>
        <w:tblLook w:val="04A0" w:firstRow="1" w:lastRow="0" w:firstColumn="1" w:lastColumn="0" w:noHBand="0" w:noVBand="1"/>
      </w:tblPr>
      <w:tblGrid>
        <w:gridCol w:w="2438"/>
        <w:gridCol w:w="6406"/>
      </w:tblGrid>
      <w:tr w:rsidR="00CE544A" w:rsidRPr="00975B07" w14:paraId="48CD724C" w14:textId="77777777" w:rsidTr="005F7F7E">
        <w:tc>
          <w:tcPr>
            <w:tcW w:w="2438" w:type="dxa"/>
            <w:shd w:val="clear" w:color="auto" w:fill="auto"/>
          </w:tcPr>
          <w:p w14:paraId="4AFED4BD" w14:textId="77777777" w:rsidR="00F445B1" w:rsidRPr="00975B07" w:rsidRDefault="00F445B1" w:rsidP="004A6D2F">
            <w:pPr>
              <w:rPr>
                <w:rStyle w:val="Firstpagetablebold"/>
              </w:rPr>
            </w:pPr>
            <w:r w:rsidRPr="00975B07">
              <w:rPr>
                <w:rStyle w:val="Firstpagetablebold"/>
              </w:rPr>
              <w:t>To</w:t>
            </w:r>
            <w:r w:rsidR="005C35A5" w:rsidRPr="00975B07">
              <w:rPr>
                <w:rStyle w:val="Firstpagetablebold"/>
              </w:rPr>
              <w:t>:</w:t>
            </w:r>
          </w:p>
        </w:tc>
        <w:tc>
          <w:tcPr>
            <w:tcW w:w="6406" w:type="dxa"/>
            <w:shd w:val="clear" w:color="auto" w:fill="auto"/>
          </w:tcPr>
          <w:p w14:paraId="2D3441CF" w14:textId="77777777" w:rsidR="00F445B1" w:rsidRPr="00F95BC9" w:rsidRDefault="00E33416" w:rsidP="004A6D2F">
            <w:pPr>
              <w:rPr>
                <w:rStyle w:val="Firstpagetablebold"/>
              </w:rPr>
            </w:pPr>
            <w:r>
              <w:rPr>
                <w:rStyle w:val="Firstpagetablebold"/>
              </w:rPr>
              <w:t>Audit and Governance Committee</w:t>
            </w:r>
          </w:p>
        </w:tc>
      </w:tr>
      <w:tr w:rsidR="00CE544A" w:rsidRPr="00975B07" w14:paraId="5295BD6F" w14:textId="77777777" w:rsidTr="005F7F7E">
        <w:tc>
          <w:tcPr>
            <w:tcW w:w="2438" w:type="dxa"/>
            <w:shd w:val="clear" w:color="auto" w:fill="auto"/>
          </w:tcPr>
          <w:p w14:paraId="0CA6AE1F" w14:textId="77777777" w:rsidR="00F445B1" w:rsidRPr="00975B07" w:rsidRDefault="00F445B1" w:rsidP="004A6D2F">
            <w:pPr>
              <w:rPr>
                <w:rStyle w:val="Firstpagetablebold"/>
              </w:rPr>
            </w:pPr>
            <w:r w:rsidRPr="00975B07">
              <w:rPr>
                <w:rStyle w:val="Firstpagetablebold"/>
              </w:rPr>
              <w:t>Dat</w:t>
            </w:r>
            <w:r w:rsidR="005C35A5" w:rsidRPr="00975B07">
              <w:rPr>
                <w:rStyle w:val="Firstpagetablebold"/>
              </w:rPr>
              <w:t>e:</w:t>
            </w:r>
          </w:p>
        </w:tc>
        <w:tc>
          <w:tcPr>
            <w:tcW w:w="6406" w:type="dxa"/>
            <w:shd w:val="clear" w:color="auto" w:fill="auto"/>
          </w:tcPr>
          <w:p w14:paraId="71728CF0" w14:textId="6654CDF7" w:rsidR="00F445B1" w:rsidRPr="001356F1" w:rsidRDefault="00935E10" w:rsidP="00130F62">
            <w:pPr>
              <w:rPr>
                <w:b/>
              </w:rPr>
            </w:pPr>
            <w:r>
              <w:rPr>
                <w:rStyle w:val="Firstpagetablebold"/>
              </w:rPr>
              <w:t>20</w:t>
            </w:r>
            <w:r w:rsidR="00E33416" w:rsidRPr="00FA3EB4">
              <w:rPr>
                <w:rStyle w:val="Firstpagetablebold"/>
              </w:rPr>
              <w:t xml:space="preserve"> January 202</w:t>
            </w:r>
            <w:r>
              <w:rPr>
                <w:rStyle w:val="Firstpagetablebold"/>
              </w:rPr>
              <w:t>5</w:t>
            </w:r>
          </w:p>
        </w:tc>
      </w:tr>
      <w:tr w:rsidR="00CE544A" w:rsidRPr="00975B07" w14:paraId="01E184EE" w14:textId="77777777" w:rsidTr="005F7F7E">
        <w:tc>
          <w:tcPr>
            <w:tcW w:w="2438" w:type="dxa"/>
            <w:shd w:val="clear" w:color="auto" w:fill="auto"/>
          </w:tcPr>
          <w:p w14:paraId="55913B0B" w14:textId="77777777" w:rsidR="00F445B1" w:rsidRPr="00975B07" w:rsidRDefault="00F445B1" w:rsidP="004A6D2F">
            <w:pPr>
              <w:rPr>
                <w:rStyle w:val="Firstpagetablebold"/>
              </w:rPr>
            </w:pPr>
            <w:r w:rsidRPr="00975B07">
              <w:rPr>
                <w:rStyle w:val="Firstpagetablebold"/>
              </w:rPr>
              <w:t>Report of</w:t>
            </w:r>
            <w:r w:rsidR="005C35A5" w:rsidRPr="00975B07">
              <w:rPr>
                <w:rStyle w:val="Firstpagetablebold"/>
              </w:rPr>
              <w:t>:</w:t>
            </w:r>
          </w:p>
        </w:tc>
        <w:tc>
          <w:tcPr>
            <w:tcW w:w="6406" w:type="dxa"/>
            <w:shd w:val="clear" w:color="auto" w:fill="auto"/>
          </w:tcPr>
          <w:p w14:paraId="3F92E82B" w14:textId="77777777" w:rsidR="00F445B1" w:rsidRPr="001356F1" w:rsidRDefault="00E33416" w:rsidP="004A6D2F">
            <w:pPr>
              <w:rPr>
                <w:rStyle w:val="Firstpagetablebold"/>
              </w:rPr>
            </w:pPr>
            <w:r>
              <w:rPr>
                <w:rStyle w:val="Firstpagetablebold"/>
              </w:rPr>
              <w:t>Head of Financial Services</w:t>
            </w:r>
          </w:p>
        </w:tc>
      </w:tr>
      <w:tr w:rsidR="00CE544A" w:rsidRPr="00975B07" w14:paraId="2D369C93" w14:textId="77777777" w:rsidTr="005F7F7E">
        <w:tc>
          <w:tcPr>
            <w:tcW w:w="2438" w:type="dxa"/>
            <w:shd w:val="clear" w:color="auto" w:fill="auto"/>
          </w:tcPr>
          <w:p w14:paraId="43B540A1" w14:textId="77777777" w:rsidR="00F445B1" w:rsidRPr="00975B07" w:rsidRDefault="00F445B1" w:rsidP="004A6D2F">
            <w:pPr>
              <w:rPr>
                <w:rStyle w:val="Firstpagetablebold"/>
              </w:rPr>
            </w:pPr>
            <w:r w:rsidRPr="00975B07">
              <w:rPr>
                <w:rStyle w:val="Firstpagetablebold"/>
              </w:rPr>
              <w:t xml:space="preserve">Title of Report: </w:t>
            </w:r>
          </w:p>
        </w:tc>
        <w:tc>
          <w:tcPr>
            <w:tcW w:w="6406" w:type="dxa"/>
            <w:shd w:val="clear" w:color="auto" w:fill="auto"/>
          </w:tcPr>
          <w:p w14:paraId="1B7D33BD" w14:textId="5D25A77E" w:rsidR="00F445B1" w:rsidRPr="001356F1" w:rsidRDefault="00E33416" w:rsidP="00130F62">
            <w:pPr>
              <w:rPr>
                <w:rStyle w:val="Firstpagetablebold"/>
              </w:rPr>
            </w:pPr>
            <w:r>
              <w:rPr>
                <w:b/>
                <w:bCs/>
              </w:rPr>
              <w:t>Setting of the Council Tax Base 202</w:t>
            </w:r>
            <w:r w:rsidR="00935E10">
              <w:rPr>
                <w:b/>
                <w:bCs/>
              </w:rPr>
              <w:t>5</w:t>
            </w:r>
            <w:r w:rsidR="00677651">
              <w:rPr>
                <w:b/>
                <w:bCs/>
              </w:rPr>
              <w:t>-2</w:t>
            </w:r>
            <w:r w:rsidR="00935E10">
              <w:rPr>
                <w:b/>
                <w:bCs/>
              </w:rPr>
              <w:t>6</w:t>
            </w:r>
          </w:p>
        </w:tc>
      </w:tr>
    </w:tbl>
    <w:p w14:paraId="23216EBF" w14:textId="77777777" w:rsidR="004F20EF" w:rsidRDefault="004F20EF" w:rsidP="004A6D2F"/>
    <w:tbl>
      <w:tblPr>
        <w:tblW w:w="0" w:type="auto"/>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426"/>
        <w:gridCol w:w="2012"/>
        <w:gridCol w:w="2524"/>
        <w:gridCol w:w="1941"/>
        <w:gridCol w:w="1942"/>
      </w:tblGrid>
      <w:tr w:rsidR="00D5547E" w14:paraId="75C2DF0D" w14:textId="77777777" w:rsidTr="0080749A">
        <w:tc>
          <w:tcPr>
            <w:tcW w:w="8845" w:type="dxa"/>
            <w:gridSpan w:val="5"/>
            <w:tcBorders>
              <w:bottom w:val="single" w:sz="8" w:space="0" w:color="000000"/>
            </w:tcBorders>
            <w:hideMark/>
          </w:tcPr>
          <w:p w14:paraId="54A269D4" w14:textId="77777777" w:rsidR="00D5547E" w:rsidRDefault="00745BF0" w:rsidP="00745BF0">
            <w:pPr>
              <w:jc w:val="center"/>
              <w:rPr>
                <w:rStyle w:val="Firstpagetablebold"/>
              </w:rPr>
            </w:pPr>
            <w:r>
              <w:rPr>
                <w:rStyle w:val="Firstpagetablebold"/>
              </w:rPr>
              <w:t>Summary and r</w:t>
            </w:r>
            <w:r w:rsidR="00D5547E">
              <w:rPr>
                <w:rStyle w:val="Firstpagetablebold"/>
              </w:rPr>
              <w:t>ecommendations</w:t>
            </w:r>
          </w:p>
        </w:tc>
      </w:tr>
      <w:tr w:rsidR="00D5547E" w14:paraId="2AB7C05B" w14:textId="77777777" w:rsidTr="0080749A">
        <w:tc>
          <w:tcPr>
            <w:tcW w:w="2438" w:type="dxa"/>
            <w:gridSpan w:val="2"/>
            <w:tcBorders>
              <w:top w:val="single" w:sz="8" w:space="0" w:color="000000"/>
              <w:left w:val="single" w:sz="8" w:space="0" w:color="000000"/>
              <w:bottom w:val="nil"/>
              <w:right w:val="nil"/>
            </w:tcBorders>
            <w:hideMark/>
          </w:tcPr>
          <w:p w14:paraId="4FF3EB49" w14:textId="77777777" w:rsidR="00D5547E" w:rsidRDefault="00D5547E">
            <w:pPr>
              <w:rPr>
                <w:rStyle w:val="Firstpagetablebold"/>
              </w:rPr>
            </w:pPr>
            <w:r>
              <w:rPr>
                <w:rStyle w:val="Firstpagetablebold"/>
              </w:rPr>
              <w:t>Purpose of report:</w:t>
            </w:r>
          </w:p>
        </w:tc>
        <w:tc>
          <w:tcPr>
            <w:tcW w:w="6407" w:type="dxa"/>
            <w:gridSpan w:val="3"/>
            <w:tcBorders>
              <w:top w:val="single" w:sz="8" w:space="0" w:color="000000"/>
              <w:left w:val="nil"/>
              <w:bottom w:val="nil"/>
              <w:right w:val="single" w:sz="8" w:space="0" w:color="000000"/>
            </w:tcBorders>
            <w:hideMark/>
          </w:tcPr>
          <w:p w14:paraId="5B962935" w14:textId="77329FDA" w:rsidR="00D5547E" w:rsidRPr="001356F1" w:rsidRDefault="00E33416" w:rsidP="00130F62">
            <w:r w:rsidRPr="00E33416">
              <w:t>To set</w:t>
            </w:r>
            <w:r>
              <w:t xml:space="preserve"> the “Council Tax Base” for 202</w:t>
            </w:r>
            <w:r w:rsidR="00935E10">
              <w:t>5</w:t>
            </w:r>
            <w:r w:rsidR="00677651">
              <w:t>-2</w:t>
            </w:r>
            <w:r w:rsidR="00935E10">
              <w:t>6</w:t>
            </w:r>
            <w:r w:rsidRPr="00E33416">
              <w:t xml:space="preserve"> as required by section 33 of The Local Government Finance Act 1992 and the Local Authorities (Calculation of Council Tax Base) (England) Regulations 2012.</w:t>
            </w:r>
          </w:p>
        </w:tc>
      </w:tr>
      <w:tr w:rsidR="00D5547E" w14:paraId="3CCE6812" w14:textId="77777777" w:rsidTr="0080749A">
        <w:tc>
          <w:tcPr>
            <w:tcW w:w="2438" w:type="dxa"/>
            <w:gridSpan w:val="2"/>
            <w:tcBorders>
              <w:top w:val="nil"/>
              <w:left w:val="single" w:sz="8" w:space="0" w:color="000000"/>
              <w:bottom w:val="nil"/>
              <w:right w:val="nil"/>
            </w:tcBorders>
            <w:hideMark/>
          </w:tcPr>
          <w:p w14:paraId="665B1E53" w14:textId="77777777" w:rsidR="00D5547E" w:rsidRDefault="00D5547E">
            <w:pPr>
              <w:rPr>
                <w:rStyle w:val="Firstpagetablebold"/>
              </w:rPr>
            </w:pPr>
            <w:r>
              <w:rPr>
                <w:rStyle w:val="Firstpagetablebold"/>
              </w:rPr>
              <w:t>Key decision:</w:t>
            </w:r>
          </w:p>
        </w:tc>
        <w:tc>
          <w:tcPr>
            <w:tcW w:w="6407" w:type="dxa"/>
            <w:gridSpan w:val="3"/>
            <w:tcBorders>
              <w:top w:val="nil"/>
              <w:left w:val="nil"/>
              <w:bottom w:val="nil"/>
              <w:right w:val="single" w:sz="8" w:space="0" w:color="000000"/>
            </w:tcBorders>
            <w:hideMark/>
          </w:tcPr>
          <w:p w14:paraId="50A749FE" w14:textId="77777777" w:rsidR="00D5547E" w:rsidRPr="001356F1" w:rsidRDefault="00E33416" w:rsidP="005F7F7E">
            <w:r>
              <w:t>No</w:t>
            </w:r>
          </w:p>
        </w:tc>
      </w:tr>
      <w:tr w:rsidR="00D5547E" w14:paraId="07E59C1C" w14:textId="77777777" w:rsidTr="0080749A">
        <w:tc>
          <w:tcPr>
            <w:tcW w:w="2438" w:type="dxa"/>
            <w:gridSpan w:val="2"/>
            <w:tcBorders>
              <w:top w:val="nil"/>
              <w:left w:val="single" w:sz="8" w:space="0" w:color="000000"/>
              <w:bottom w:val="nil"/>
              <w:right w:val="nil"/>
            </w:tcBorders>
            <w:hideMark/>
          </w:tcPr>
          <w:p w14:paraId="557B495D" w14:textId="77777777" w:rsidR="00D5547E" w:rsidRDefault="00F913EC">
            <w:pPr>
              <w:rPr>
                <w:rStyle w:val="Firstpagetablebold"/>
              </w:rPr>
            </w:pPr>
            <w:r>
              <w:rPr>
                <w:rStyle w:val="Firstpagetablebold"/>
              </w:rPr>
              <w:t>Cabinet</w:t>
            </w:r>
            <w:r w:rsidR="00D5547E">
              <w:rPr>
                <w:rStyle w:val="Firstpagetablebold"/>
              </w:rPr>
              <w:t xml:space="preserve"> Member</w:t>
            </w:r>
            <w:r w:rsidR="00A44635">
              <w:rPr>
                <w:rStyle w:val="Firstpagetablebold"/>
              </w:rPr>
              <w:t xml:space="preserve"> with responsibility</w:t>
            </w:r>
            <w:r w:rsidR="00D5547E">
              <w:rPr>
                <w:rStyle w:val="Firstpagetablebold"/>
              </w:rPr>
              <w:t>:</w:t>
            </w:r>
          </w:p>
        </w:tc>
        <w:tc>
          <w:tcPr>
            <w:tcW w:w="6407" w:type="dxa"/>
            <w:gridSpan w:val="3"/>
            <w:tcBorders>
              <w:top w:val="nil"/>
              <w:left w:val="nil"/>
              <w:bottom w:val="nil"/>
              <w:right w:val="single" w:sz="8" w:space="0" w:color="000000"/>
            </w:tcBorders>
            <w:hideMark/>
          </w:tcPr>
          <w:p w14:paraId="75BA51EB" w14:textId="77777777" w:rsidR="00D5547E" w:rsidRPr="001356F1" w:rsidRDefault="00D5547E" w:rsidP="00E33416">
            <w:r w:rsidRPr="00101AD2">
              <w:t xml:space="preserve">Councillor </w:t>
            </w:r>
            <w:r w:rsidR="00E33416" w:rsidRPr="00101AD2">
              <w:t xml:space="preserve">Ed Turner, </w:t>
            </w:r>
            <w:r w:rsidR="00EF2213" w:rsidRPr="00101AD2">
              <w:t>Deputy Leader (Statutory), and Cabinet Member for Finance and Asset Management</w:t>
            </w:r>
          </w:p>
        </w:tc>
      </w:tr>
      <w:tr w:rsidR="0080749A" w14:paraId="5742B757" w14:textId="77777777" w:rsidTr="0080749A">
        <w:tc>
          <w:tcPr>
            <w:tcW w:w="2438" w:type="dxa"/>
            <w:gridSpan w:val="2"/>
            <w:tcBorders>
              <w:top w:val="nil"/>
              <w:left w:val="single" w:sz="8" w:space="0" w:color="000000"/>
              <w:bottom w:val="nil"/>
              <w:right w:val="nil"/>
            </w:tcBorders>
          </w:tcPr>
          <w:p w14:paraId="0EA29BD7" w14:textId="77777777" w:rsidR="0080749A" w:rsidRDefault="0080749A">
            <w:pPr>
              <w:rPr>
                <w:rStyle w:val="Firstpagetablebold"/>
              </w:rPr>
            </w:pPr>
            <w:r>
              <w:rPr>
                <w:rStyle w:val="Firstpagetablebold"/>
              </w:rPr>
              <w:t>Corporate Priority:</w:t>
            </w:r>
          </w:p>
        </w:tc>
        <w:tc>
          <w:tcPr>
            <w:tcW w:w="6407" w:type="dxa"/>
            <w:gridSpan w:val="3"/>
            <w:tcBorders>
              <w:top w:val="nil"/>
              <w:left w:val="nil"/>
              <w:bottom w:val="nil"/>
              <w:right w:val="single" w:sz="8" w:space="0" w:color="000000"/>
            </w:tcBorders>
          </w:tcPr>
          <w:p w14:paraId="0F414D64" w14:textId="77777777" w:rsidR="0080749A" w:rsidRPr="001356F1" w:rsidRDefault="00ED4ED1" w:rsidP="00E33416">
            <w:r>
              <w:t>None</w:t>
            </w:r>
          </w:p>
        </w:tc>
      </w:tr>
      <w:tr w:rsidR="00D5547E" w14:paraId="67FA3EF5" w14:textId="77777777" w:rsidTr="0080749A">
        <w:tc>
          <w:tcPr>
            <w:tcW w:w="2438" w:type="dxa"/>
            <w:gridSpan w:val="2"/>
            <w:tcBorders>
              <w:top w:val="nil"/>
              <w:left w:val="single" w:sz="8" w:space="0" w:color="000000"/>
              <w:bottom w:val="nil"/>
              <w:right w:val="nil"/>
            </w:tcBorders>
            <w:hideMark/>
          </w:tcPr>
          <w:p w14:paraId="35805F6B" w14:textId="77777777" w:rsidR="00D5547E" w:rsidRDefault="00D5547E">
            <w:pPr>
              <w:rPr>
                <w:rStyle w:val="Firstpagetablebold"/>
              </w:rPr>
            </w:pPr>
            <w:r>
              <w:rPr>
                <w:rStyle w:val="Firstpagetablebold"/>
              </w:rPr>
              <w:t>Policy Framework:</w:t>
            </w:r>
          </w:p>
        </w:tc>
        <w:tc>
          <w:tcPr>
            <w:tcW w:w="6407" w:type="dxa"/>
            <w:gridSpan w:val="3"/>
            <w:tcBorders>
              <w:top w:val="nil"/>
              <w:left w:val="nil"/>
              <w:bottom w:val="nil"/>
              <w:right w:val="single" w:sz="8" w:space="0" w:color="000000"/>
            </w:tcBorders>
            <w:hideMark/>
          </w:tcPr>
          <w:p w14:paraId="18D96B68" w14:textId="77777777" w:rsidR="00D5547E" w:rsidRPr="001356F1" w:rsidRDefault="00ED4ED1" w:rsidP="005F7F7E">
            <w:r>
              <w:t>None</w:t>
            </w:r>
          </w:p>
        </w:tc>
      </w:tr>
      <w:tr w:rsidR="005F7F7E" w:rsidRPr="00975B07" w14:paraId="018C3792" w14:textId="77777777" w:rsidTr="00A46E98">
        <w:trPr>
          <w:trHeight w:val="413"/>
        </w:trPr>
        <w:tc>
          <w:tcPr>
            <w:tcW w:w="8845" w:type="dxa"/>
            <w:gridSpan w:val="5"/>
            <w:tcBorders>
              <w:bottom w:val="single" w:sz="8" w:space="0" w:color="000000"/>
            </w:tcBorders>
          </w:tcPr>
          <w:p w14:paraId="064E3677" w14:textId="77777777" w:rsidR="005F7F7E" w:rsidRPr="00975B07" w:rsidRDefault="00E33416" w:rsidP="00B003A0">
            <w:r>
              <w:rPr>
                <w:rStyle w:val="Firstpagetablebold"/>
              </w:rPr>
              <w:t>Recommendations</w:t>
            </w:r>
            <w:r w:rsidR="005F7F7E">
              <w:rPr>
                <w:rStyle w:val="Firstpagetablebold"/>
              </w:rPr>
              <w:t>:</w:t>
            </w:r>
            <w:r>
              <w:rPr>
                <w:rStyle w:val="Firstpagetablebold"/>
              </w:rPr>
              <w:t xml:space="preserve"> </w:t>
            </w:r>
            <w:r w:rsidR="00B003A0" w:rsidRPr="00ED4ED1">
              <w:rPr>
                <w:rStyle w:val="Firstpagetablebold"/>
                <w:b w:val="0"/>
              </w:rPr>
              <w:t>T</w:t>
            </w:r>
            <w:r w:rsidRPr="00ED4ED1">
              <w:rPr>
                <w:rStyle w:val="Firstpagetablebold"/>
                <w:b w:val="0"/>
              </w:rPr>
              <w:t>he</w:t>
            </w:r>
            <w:r w:rsidR="005F7F7E" w:rsidRPr="00ED4ED1">
              <w:rPr>
                <w:rStyle w:val="Firstpagetablebold"/>
                <w:b w:val="0"/>
              </w:rPr>
              <w:t xml:space="preserve"> </w:t>
            </w:r>
            <w:r w:rsidR="00821AAF" w:rsidRPr="00ED4ED1">
              <w:rPr>
                <w:rStyle w:val="Firstpagetablebold"/>
                <w:b w:val="0"/>
              </w:rPr>
              <w:t>Committee</w:t>
            </w:r>
            <w:r w:rsidR="005F7F7E" w:rsidRPr="00ED4ED1">
              <w:rPr>
                <w:rStyle w:val="Firstpagetablebold"/>
                <w:b w:val="0"/>
              </w:rPr>
              <w:t xml:space="preserve"> </w:t>
            </w:r>
            <w:r w:rsidRPr="00ED4ED1">
              <w:rPr>
                <w:rStyle w:val="Firstpagetablebold"/>
                <w:b w:val="0"/>
              </w:rPr>
              <w:t>is recommended to agree</w:t>
            </w:r>
            <w:r>
              <w:rPr>
                <w:rStyle w:val="Firstpagetablebold"/>
              </w:rPr>
              <w:t xml:space="preserve"> </w:t>
            </w:r>
          </w:p>
        </w:tc>
      </w:tr>
      <w:tr w:rsidR="0030208D" w:rsidRPr="00975B07" w14:paraId="2568EE4C" w14:textId="77777777" w:rsidTr="00A46E98">
        <w:trPr>
          <w:trHeight w:val="283"/>
        </w:trPr>
        <w:tc>
          <w:tcPr>
            <w:tcW w:w="426" w:type="dxa"/>
            <w:tcBorders>
              <w:top w:val="single" w:sz="8" w:space="0" w:color="000000"/>
              <w:left w:val="single" w:sz="8" w:space="0" w:color="000000"/>
              <w:bottom w:val="nil"/>
              <w:right w:val="nil"/>
            </w:tcBorders>
          </w:tcPr>
          <w:p w14:paraId="7B3C8253" w14:textId="77777777" w:rsidR="0030208D" w:rsidRPr="00975B07" w:rsidRDefault="00046D2B" w:rsidP="004A6D2F">
            <w:r w:rsidRPr="00975B07">
              <w:t>1.</w:t>
            </w:r>
          </w:p>
        </w:tc>
        <w:tc>
          <w:tcPr>
            <w:tcW w:w="8419" w:type="dxa"/>
            <w:gridSpan w:val="4"/>
            <w:tcBorders>
              <w:top w:val="single" w:sz="8" w:space="0" w:color="000000"/>
              <w:left w:val="nil"/>
              <w:bottom w:val="nil"/>
              <w:right w:val="single" w:sz="8" w:space="0" w:color="000000"/>
            </w:tcBorders>
            <w:shd w:val="clear" w:color="auto" w:fill="auto"/>
          </w:tcPr>
          <w:p w14:paraId="5B60A363" w14:textId="717EB7BA" w:rsidR="0030208D" w:rsidRPr="00B003A0" w:rsidRDefault="00B003A0" w:rsidP="00FA3EB4">
            <w:pPr>
              <w:rPr>
                <w:b/>
              </w:rPr>
            </w:pPr>
            <w:r>
              <w:rPr>
                <w:rStyle w:val="Firstpagetablebold"/>
                <w:b w:val="0"/>
              </w:rPr>
              <w:t>T</w:t>
            </w:r>
            <w:r w:rsidR="00E33416" w:rsidRPr="00E33416">
              <w:rPr>
                <w:rStyle w:val="Firstpagetablebold"/>
                <w:b w:val="0"/>
              </w:rPr>
              <w:t>hat the 202</w:t>
            </w:r>
            <w:r w:rsidR="00935E10">
              <w:rPr>
                <w:rStyle w:val="Firstpagetablebold"/>
                <w:b w:val="0"/>
              </w:rPr>
              <w:t>5</w:t>
            </w:r>
            <w:r w:rsidR="00677651">
              <w:rPr>
                <w:rStyle w:val="Firstpagetablebold"/>
                <w:b w:val="0"/>
              </w:rPr>
              <w:t>/2</w:t>
            </w:r>
            <w:r w:rsidR="00935E10">
              <w:rPr>
                <w:rStyle w:val="Firstpagetablebold"/>
                <w:b w:val="0"/>
              </w:rPr>
              <w:t>6</w:t>
            </w:r>
            <w:r w:rsidR="00E33416" w:rsidRPr="00E33416">
              <w:rPr>
                <w:rStyle w:val="Firstpagetablebold"/>
                <w:b w:val="0"/>
              </w:rPr>
              <w:t xml:space="preserve"> Council Tax Base for the City Council’s area </w:t>
            </w:r>
            <w:proofErr w:type="gramStart"/>
            <w:r w:rsidR="00E33416" w:rsidRPr="00E33416">
              <w:rPr>
                <w:rStyle w:val="Firstpagetablebold"/>
                <w:b w:val="0"/>
              </w:rPr>
              <w:t>as a whole is</w:t>
            </w:r>
            <w:proofErr w:type="gramEnd"/>
            <w:r w:rsidR="00E33416" w:rsidRPr="00E33416">
              <w:rPr>
                <w:rStyle w:val="Firstpagetablebold"/>
                <w:b w:val="0"/>
              </w:rPr>
              <w:t xml:space="preserve"> </w:t>
            </w:r>
            <w:r w:rsidR="00E33416" w:rsidRPr="00EF0B98">
              <w:rPr>
                <w:rStyle w:val="Firstpagetablebold"/>
                <w:b w:val="0"/>
              </w:rPr>
              <w:t xml:space="preserve">set at </w:t>
            </w:r>
            <w:r w:rsidR="00E33416" w:rsidRPr="00EF0B98">
              <w:rPr>
                <w:rStyle w:val="Firstpagetablebold"/>
              </w:rPr>
              <w:t>4</w:t>
            </w:r>
            <w:r w:rsidR="00935E10">
              <w:rPr>
                <w:rStyle w:val="Firstpagetablebold"/>
              </w:rPr>
              <w:t>7</w:t>
            </w:r>
            <w:r w:rsidR="00E33416" w:rsidRPr="00EF0B98">
              <w:rPr>
                <w:rStyle w:val="Firstpagetablebold"/>
              </w:rPr>
              <w:t>,</w:t>
            </w:r>
            <w:r w:rsidR="00935E10">
              <w:rPr>
                <w:rStyle w:val="Firstpagetablebold"/>
              </w:rPr>
              <w:t>637</w:t>
            </w:r>
            <w:r w:rsidR="00677651" w:rsidRPr="00EF0B98">
              <w:rPr>
                <w:rStyle w:val="Firstpagetablebold"/>
              </w:rPr>
              <w:t>.</w:t>
            </w:r>
            <w:r w:rsidR="00935E10">
              <w:rPr>
                <w:rStyle w:val="Firstpagetablebold"/>
              </w:rPr>
              <w:t>8</w:t>
            </w:r>
            <w:r w:rsidR="00E33416" w:rsidRPr="00E33416">
              <w:rPr>
                <w:rStyle w:val="Firstpagetablebold"/>
                <w:b w:val="0"/>
              </w:rPr>
              <w:t xml:space="preserve"> (as shown in Appendix 1)</w:t>
            </w:r>
          </w:p>
        </w:tc>
      </w:tr>
      <w:tr w:rsidR="0030208D" w:rsidRPr="00975B07" w14:paraId="332401E7" w14:textId="77777777" w:rsidTr="00A46E98">
        <w:trPr>
          <w:trHeight w:val="283"/>
        </w:trPr>
        <w:tc>
          <w:tcPr>
            <w:tcW w:w="426" w:type="dxa"/>
            <w:tcBorders>
              <w:top w:val="nil"/>
              <w:left w:val="single" w:sz="8" w:space="0" w:color="000000"/>
              <w:bottom w:val="nil"/>
              <w:right w:val="nil"/>
            </w:tcBorders>
          </w:tcPr>
          <w:p w14:paraId="458AB193" w14:textId="77777777" w:rsidR="0030208D" w:rsidRPr="00975B07" w:rsidRDefault="00046D2B" w:rsidP="004A6D2F">
            <w:r w:rsidRPr="00975B07">
              <w:t>2.</w:t>
            </w:r>
          </w:p>
        </w:tc>
        <w:tc>
          <w:tcPr>
            <w:tcW w:w="8419" w:type="dxa"/>
            <w:gridSpan w:val="4"/>
            <w:tcBorders>
              <w:top w:val="nil"/>
              <w:left w:val="nil"/>
              <w:bottom w:val="nil"/>
              <w:right w:val="single" w:sz="8" w:space="0" w:color="000000"/>
            </w:tcBorders>
            <w:shd w:val="clear" w:color="auto" w:fill="auto"/>
          </w:tcPr>
          <w:p w14:paraId="74CB37AE" w14:textId="77777777" w:rsidR="0030208D" w:rsidRPr="00E33416" w:rsidRDefault="00B003A0" w:rsidP="002069B3">
            <w:pPr>
              <w:rPr>
                <w:b/>
              </w:rPr>
            </w:pPr>
            <w:r>
              <w:rPr>
                <w:rStyle w:val="Firstpagetablebold"/>
                <w:b w:val="0"/>
              </w:rPr>
              <w:t>T</w:t>
            </w:r>
            <w:r w:rsidR="00E33416" w:rsidRPr="00E33416">
              <w:rPr>
                <w:rStyle w:val="Firstpagetablebold"/>
                <w:b w:val="0"/>
              </w:rPr>
              <w:t xml:space="preserve">hat the projected level of collection is set </w:t>
            </w:r>
            <w:r w:rsidR="00E33416" w:rsidRPr="00FA3EB4">
              <w:rPr>
                <w:rStyle w:val="Firstpagetablebold"/>
                <w:b w:val="0"/>
              </w:rPr>
              <w:t xml:space="preserve">at </w:t>
            </w:r>
            <w:r w:rsidR="00E33416" w:rsidRPr="00FA3EB4">
              <w:rPr>
                <w:rStyle w:val="Firstpagetablebold"/>
              </w:rPr>
              <w:t>98%</w:t>
            </w:r>
          </w:p>
        </w:tc>
      </w:tr>
      <w:tr w:rsidR="00232F5B" w:rsidRPr="00975B07" w14:paraId="33BA01CF" w14:textId="77777777" w:rsidTr="00A46E98">
        <w:trPr>
          <w:trHeight w:val="283"/>
        </w:trPr>
        <w:tc>
          <w:tcPr>
            <w:tcW w:w="426" w:type="dxa"/>
            <w:tcBorders>
              <w:top w:val="nil"/>
              <w:left w:val="single" w:sz="8" w:space="0" w:color="000000"/>
              <w:bottom w:val="nil"/>
              <w:right w:val="nil"/>
            </w:tcBorders>
          </w:tcPr>
          <w:p w14:paraId="0769BFC8" w14:textId="77777777" w:rsidR="0030208D" w:rsidRPr="00975B07" w:rsidRDefault="00046D2B" w:rsidP="004A6D2F">
            <w:r w:rsidRPr="00975B07">
              <w:t>3.</w:t>
            </w:r>
          </w:p>
        </w:tc>
        <w:tc>
          <w:tcPr>
            <w:tcW w:w="8419" w:type="dxa"/>
            <w:gridSpan w:val="4"/>
            <w:tcBorders>
              <w:top w:val="nil"/>
              <w:left w:val="nil"/>
              <w:bottom w:val="nil"/>
              <w:right w:val="single" w:sz="8" w:space="0" w:color="000000"/>
            </w:tcBorders>
            <w:shd w:val="clear" w:color="auto" w:fill="auto"/>
          </w:tcPr>
          <w:p w14:paraId="7EEF0C5B" w14:textId="77777777" w:rsidR="0030208D" w:rsidRPr="00E33416" w:rsidRDefault="00B003A0" w:rsidP="002069B3">
            <w:pPr>
              <w:rPr>
                <w:b/>
              </w:rPr>
            </w:pPr>
            <w:r>
              <w:rPr>
                <w:rStyle w:val="Firstpagetablebold"/>
                <w:b w:val="0"/>
              </w:rPr>
              <w:t>T</w:t>
            </w:r>
            <w:r w:rsidR="00E33416" w:rsidRPr="00E33416">
              <w:rPr>
                <w:rStyle w:val="Firstpagetablebold"/>
                <w:b w:val="0"/>
              </w:rPr>
              <w:t>hat the tax bases for the Parishes, and for the Unparished Area of the City (as shown in Appendix 2) be set as follows:</w:t>
            </w:r>
          </w:p>
        </w:tc>
      </w:tr>
      <w:tr w:rsidR="00FA3EB4" w:rsidRPr="00975B07" w14:paraId="0234AC85" w14:textId="77777777" w:rsidTr="00FA3EB4">
        <w:trPr>
          <w:trHeight w:val="283"/>
        </w:trPr>
        <w:tc>
          <w:tcPr>
            <w:tcW w:w="426" w:type="dxa"/>
            <w:tcBorders>
              <w:top w:val="nil"/>
              <w:left w:val="single" w:sz="8" w:space="0" w:color="000000"/>
              <w:bottom w:val="nil"/>
              <w:right w:val="nil"/>
            </w:tcBorders>
          </w:tcPr>
          <w:p w14:paraId="01E43AB2" w14:textId="77777777" w:rsidR="00FA3EB4" w:rsidRPr="00975B07" w:rsidRDefault="00FA3EB4" w:rsidP="004A6D2F"/>
        </w:tc>
        <w:tc>
          <w:tcPr>
            <w:tcW w:w="4536" w:type="dxa"/>
            <w:gridSpan w:val="2"/>
            <w:tcBorders>
              <w:top w:val="nil"/>
              <w:left w:val="nil"/>
              <w:right w:val="single" w:sz="8" w:space="0" w:color="000000"/>
            </w:tcBorders>
            <w:shd w:val="clear" w:color="auto" w:fill="auto"/>
          </w:tcPr>
          <w:p w14:paraId="2BAC5FA2" w14:textId="77777777" w:rsidR="00FA3EB4" w:rsidRPr="001356F1" w:rsidRDefault="00FA3EB4" w:rsidP="00E33416">
            <w:r>
              <w:t>Unparished Area of the City</w:t>
            </w:r>
          </w:p>
        </w:tc>
        <w:tc>
          <w:tcPr>
            <w:tcW w:w="1941" w:type="dxa"/>
            <w:tcBorders>
              <w:top w:val="nil"/>
              <w:left w:val="nil"/>
              <w:right w:val="nil"/>
            </w:tcBorders>
            <w:shd w:val="clear" w:color="auto" w:fill="auto"/>
          </w:tcPr>
          <w:p w14:paraId="0EDDA0B3" w14:textId="3FE98E48" w:rsidR="00FA3EB4" w:rsidRPr="00B92332" w:rsidRDefault="00FA3EB4" w:rsidP="00CF17DF">
            <w:pPr>
              <w:jc w:val="right"/>
            </w:pPr>
            <w:r w:rsidRPr="00B92332">
              <w:t>3</w:t>
            </w:r>
            <w:r w:rsidR="00935E10">
              <w:t>9</w:t>
            </w:r>
            <w:r w:rsidRPr="00B92332">
              <w:t>,</w:t>
            </w:r>
            <w:r w:rsidR="00935E10">
              <w:t>882</w:t>
            </w:r>
            <w:r w:rsidRPr="00B92332">
              <w:t>.</w:t>
            </w:r>
            <w:r w:rsidR="00935E10">
              <w:t>6</w:t>
            </w:r>
          </w:p>
        </w:tc>
        <w:tc>
          <w:tcPr>
            <w:tcW w:w="1942" w:type="dxa"/>
            <w:tcBorders>
              <w:top w:val="nil"/>
              <w:left w:val="nil"/>
              <w:right w:val="single" w:sz="8" w:space="0" w:color="000000"/>
            </w:tcBorders>
            <w:shd w:val="clear" w:color="auto" w:fill="auto"/>
          </w:tcPr>
          <w:p w14:paraId="676AAB26" w14:textId="77777777" w:rsidR="00FA3EB4" w:rsidRPr="00B92332" w:rsidRDefault="00FA3EB4" w:rsidP="00FA3EB4">
            <w:pPr>
              <w:jc w:val="right"/>
            </w:pPr>
          </w:p>
        </w:tc>
      </w:tr>
      <w:tr w:rsidR="00FA3EB4" w:rsidRPr="00975B07" w14:paraId="4702A0DA" w14:textId="77777777" w:rsidTr="00FA3EB4">
        <w:trPr>
          <w:trHeight w:val="283"/>
        </w:trPr>
        <w:tc>
          <w:tcPr>
            <w:tcW w:w="426" w:type="dxa"/>
            <w:tcBorders>
              <w:top w:val="nil"/>
              <w:left w:val="single" w:sz="8" w:space="0" w:color="000000"/>
              <w:bottom w:val="nil"/>
              <w:right w:val="nil"/>
            </w:tcBorders>
          </w:tcPr>
          <w:p w14:paraId="39CB2A61" w14:textId="77777777" w:rsidR="00FA3EB4" w:rsidRPr="00975B07" w:rsidRDefault="00FA3EB4" w:rsidP="004A6D2F"/>
        </w:tc>
        <w:tc>
          <w:tcPr>
            <w:tcW w:w="4536" w:type="dxa"/>
            <w:gridSpan w:val="2"/>
            <w:tcBorders>
              <w:left w:val="nil"/>
              <w:right w:val="single" w:sz="8" w:space="0" w:color="000000"/>
            </w:tcBorders>
            <w:shd w:val="clear" w:color="auto" w:fill="auto"/>
          </w:tcPr>
          <w:p w14:paraId="4225B0B2" w14:textId="77777777" w:rsidR="00FA3EB4" w:rsidRPr="001356F1" w:rsidRDefault="00FA3EB4" w:rsidP="002069B3">
            <w:r>
              <w:t>Littlemore Parish</w:t>
            </w:r>
          </w:p>
        </w:tc>
        <w:tc>
          <w:tcPr>
            <w:tcW w:w="1941" w:type="dxa"/>
            <w:tcBorders>
              <w:left w:val="nil"/>
              <w:right w:val="nil"/>
            </w:tcBorders>
            <w:shd w:val="clear" w:color="auto" w:fill="auto"/>
          </w:tcPr>
          <w:p w14:paraId="3AF864E5" w14:textId="69B6C67A" w:rsidR="00FA3EB4" w:rsidRPr="00B92332" w:rsidRDefault="00FA3EB4" w:rsidP="00FA3EB4">
            <w:pPr>
              <w:jc w:val="right"/>
            </w:pPr>
            <w:r w:rsidRPr="00B92332">
              <w:t>2,0</w:t>
            </w:r>
            <w:r w:rsidR="00935E10">
              <w:t>29</w:t>
            </w:r>
            <w:r w:rsidRPr="00B92332">
              <w:t>.</w:t>
            </w:r>
            <w:r w:rsidR="00935E10">
              <w:t>9</w:t>
            </w:r>
          </w:p>
        </w:tc>
        <w:tc>
          <w:tcPr>
            <w:tcW w:w="1942" w:type="dxa"/>
            <w:tcBorders>
              <w:left w:val="nil"/>
              <w:right w:val="single" w:sz="8" w:space="0" w:color="000000"/>
            </w:tcBorders>
            <w:shd w:val="clear" w:color="auto" w:fill="auto"/>
          </w:tcPr>
          <w:p w14:paraId="664382ED" w14:textId="77777777" w:rsidR="00FA3EB4" w:rsidRPr="00B92332" w:rsidRDefault="00FA3EB4" w:rsidP="00FA3EB4">
            <w:pPr>
              <w:jc w:val="right"/>
            </w:pPr>
          </w:p>
        </w:tc>
      </w:tr>
      <w:tr w:rsidR="00FA3EB4" w:rsidRPr="00975B07" w14:paraId="5EFFF80F" w14:textId="77777777" w:rsidTr="00FA3EB4">
        <w:trPr>
          <w:trHeight w:val="283"/>
        </w:trPr>
        <w:tc>
          <w:tcPr>
            <w:tcW w:w="426" w:type="dxa"/>
            <w:tcBorders>
              <w:top w:val="nil"/>
              <w:left w:val="single" w:sz="8" w:space="0" w:color="000000"/>
              <w:bottom w:val="nil"/>
              <w:right w:val="nil"/>
            </w:tcBorders>
          </w:tcPr>
          <w:p w14:paraId="4AE1B478" w14:textId="77777777" w:rsidR="00FA3EB4" w:rsidRPr="00975B07" w:rsidRDefault="00FA3EB4" w:rsidP="004A6D2F"/>
        </w:tc>
        <w:tc>
          <w:tcPr>
            <w:tcW w:w="4536" w:type="dxa"/>
            <w:gridSpan w:val="2"/>
            <w:tcBorders>
              <w:left w:val="nil"/>
              <w:right w:val="single" w:sz="8" w:space="0" w:color="000000"/>
            </w:tcBorders>
            <w:shd w:val="clear" w:color="auto" w:fill="auto"/>
          </w:tcPr>
          <w:p w14:paraId="4FD5414D" w14:textId="77777777" w:rsidR="00FA3EB4" w:rsidRDefault="00FA3EB4" w:rsidP="002069B3">
            <w:r>
              <w:t>Old Marston Parish</w:t>
            </w:r>
          </w:p>
        </w:tc>
        <w:tc>
          <w:tcPr>
            <w:tcW w:w="1941" w:type="dxa"/>
            <w:tcBorders>
              <w:left w:val="nil"/>
              <w:right w:val="nil"/>
            </w:tcBorders>
            <w:shd w:val="clear" w:color="auto" w:fill="auto"/>
          </w:tcPr>
          <w:p w14:paraId="4336FB6B" w14:textId="6E589479" w:rsidR="00FA3EB4" w:rsidRPr="00B92332" w:rsidRDefault="00FA3EB4" w:rsidP="00FA3EB4">
            <w:pPr>
              <w:jc w:val="right"/>
            </w:pPr>
            <w:r w:rsidRPr="00B92332">
              <w:t>1,</w:t>
            </w:r>
            <w:r w:rsidR="00EF0B98" w:rsidRPr="00B92332">
              <w:t>3</w:t>
            </w:r>
            <w:r w:rsidR="00704E5A">
              <w:t>1</w:t>
            </w:r>
            <w:r w:rsidR="00935E10">
              <w:t>1</w:t>
            </w:r>
            <w:r w:rsidRPr="00B92332">
              <w:t>.</w:t>
            </w:r>
            <w:r w:rsidR="00935E10">
              <w:t>6</w:t>
            </w:r>
          </w:p>
        </w:tc>
        <w:tc>
          <w:tcPr>
            <w:tcW w:w="1942" w:type="dxa"/>
            <w:tcBorders>
              <w:left w:val="nil"/>
              <w:right w:val="single" w:sz="8" w:space="0" w:color="000000"/>
            </w:tcBorders>
            <w:shd w:val="clear" w:color="auto" w:fill="auto"/>
          </w:tcPr>
          <w:p w14:paraId="2F58068C" w14:textId="77777777" w:rsidR="00FA3EB4" w:rsidRPr="00B92332" w:rsidRDefault="00FA3EB4" w:rsidP="00FA3EB4">
            <w:pPr>
              <w:jc w:val="right"/>
            </w:pPr>
          </w:p>
        </w:tc>
      </w:tr>
      <w:tr w:rsidR="00FA3EB4" w:rsidRPr="00975B07" w14:paraId="724ACC14" w14:textId="77777777" w:rsidTr="00FA3EB4">
        <w:trPr>
          <w:trHeight w:val="283"/>
        </w:trPr>
        <w:tc>
          <w:tcPr>
            <w:tcW w:w="426" w:type="dxa"/>
            <w:tcBorders>
              <w:top w:val="nil"/>
              <w:left w:val="single" w:sz="8" w:space="0" w:color="000000"/>
              <w:bottom w:val="nil"/>
              <w:right w:val="nil"/>
            </w:tcBorders>
          </w:tcPr>
          <w:p w14:paraId="1CDC3111" w14:textId="77777777" w:rsidR="00FA3EB4" w:rsidRPr="00975B07" w:rsidRDefault="00FA3EB4" w:rsidP="004A6D2F"/>
        </w:tc>
        <w:tc>
          <w:tcPr>
            <w:tcW w:w="4536" w:type="dxa"/>
            <w:gridSpan w:val="2"/>
            <w:tcBorders>
              <w:left w:val="nil"/>
              <w:right w:val="single" w:sz="8" w:space="0" w:color="000000"/>
            </w:tcBorders>
            <w:shd w:val="clear" w:color="auto" w:fill="auto"/>
          </w:tcPr>
          <w:p w14:paraId="465315F1" w14:textId="77777777" w:rsidR="00FA3EB4" w:rsidRPr="001356F1" w:rsidRDefault="00FA3EB4" w:rsidP="002069B3">
            <w:r>
              <w:t>Risinghurst &amp; Sandhills Parish</w:t>
            </w:r>
          </w:p>
        </w:tc>
        <w:tc>
          <w:tcPr>
            <w:tcW w:w="1941" w:type="dxa"/>
            <w:tcBorders>
              <w:left w:val="nil"/>
              <w:right w:val="nil"/>
            </w:tcBorders>
            <w:shd w:val="clear" w:color="auto" w:fill="auto"/>
          </w:tcPr>
          <w:p w14:paraId="7C7DA44D" w14:textId="54797E86" w:rsidR="00FA3EB4" w:rsidRPr="00B92332" w:rsidRDefault="00FA3EB4" w:rsidP="00FA3EB4">
            <w:pPr>
              <w:jc w:val="right"/>
            </w:pPr>
            <w:r w:rsidRPr="00B92332">
              <w:t>1,5</w:t>
            </w:r>
            <w:r w:rsidR="00935E10">
              <w:t>79</w:t>
            </w:r>
            <w:r w:rsidRPr="00B92332">
              <w:t>.</w:t>
            </w:r>
            <w:r w:rsidR="00935E10">
              <w:t>8</w:t>
            </w:r>
          </w:p>
        </w:tc>
        <w:tc>
          <w:tcPr>
            <w:tcW w:w="1942" w:type="dxa"/>
            <w:tcBorders>
              <w:left w:val="nil"/>
              <w:right w:val="single" w:sz="8" w:space="0" w:color="000000"/>
            </w:tcBorders>
            <w:shd w:val="clear" w:color="auto" w:fill="auto"/>
          </w:tcPr>
          <w:p w14:paraId="7B15116F" w14:textId="77777777" w:rsidR="00FA3EB4" w:rsidRPr="00B92332" w:rsidRDefault="00FA3EB4" w:rsidP="00FA3EB4">
            <w:pPr>
              <w:jc w:val="right"/>
            </w:pPr>
          </w:p>
        </w:tc>
      </w:tr>
      <w:tr w:rsidR="00FA3EB4" w:rsidRPr="00975B07" w14:paraId="79545ADB" w14:textId="77777777" w:rsidTr="00FA3EB4">
        <w:trPr>
          <w:trHeight w:val="283"/>
        </w:trPr>
        <w:tc>
          <w:tcPr>
            <w:tcW w:w="426" w:type="dxa"/>
            <w:tcBorders>
              <w:top w:val="nil"/>
              <w:left w:val="single" w:sz="8" w:space="0" w:color="000000"/>
              <w:bottom w:val="nil"/>
              <w:right w:val="nil"/>
            </w:tcBorders>
          </w:tcPr>
          <w:p w14:paraId="3A8405BD" w14:textId="77777777" w:rsidR="00FA3EB4" w:rsidRPr="00975B07" w:rsidRDefault="00FA3EB4" w:rsidP="004A6D2F"/>
        </w:tc>
        <w:tc>
          <w:tcPr>
            <w:tcW w:w="4536" w:type="dxa"/>
            <w:gridSpan w:val="2"/>
            <w:tcBorders>
              <w:left w:val="nil"/>
              <w:right w:val="single" w:sz="8" w:space="0" w:color="000000"/>
            </w:tcBorders>
            <w:shd w:val="clear" w:color="auto" w:fill="auto"/>
          </w:tcPr>
          <w:p w14:paraId="75DD01D8" w14:textId="77777777" w:rsidR="00FA3EB4" w:rsidRPr="001356F1" w:rsidRDefault="00FA3EB4" w:rsidP="002069B3">
            <w:r>
              <w:t>Blackbird Leys Parish</w:t>
            </w:r>
          </w:p>
        </w:tc>
        <w:tc>
          <w:tcPr>
            <w:tcW w:w="1941" w:type="dxa"/>
            <w:tcBorders>
              <w:left w:val="nil"/>
              <w:right w:val="nil"/>
            </w:tcBorders>
            <w:shd w:val="clear" w:color="auto" w:fill="auto"/>
          </w:tcPr>
          <w:p w14:paraId="3A9CA1AC" w14:textId="0A719938" w:rsidR="00FA3EB4" w:rsidRPr="00B92332" w:rsidRDefault="00FA3EB4" w:rsidP="00FA3EB4">
            <w:pPr>
              <w:jc w:val="right"/>
            </w:pPr>
            <w:r w:rsidRPr="00B92332">
              <w:t>2,</w:t>
            </w:r>
            <w:r w:rsidR="00704E5A">
              <w:t>8</w:t>
            </w:r>
            <w:r w:rsidR="00935E10">
              <w:t>33</w:t>
            </w:r>
            <w:r w:rsidRPr="00B92332">
              <w:t>.</w:t>
            </w:r>
            <w:r w:rsidR="00935E10">
              <w:t>9</w:t>
            </w:r>
          </w:p>
        </w:tc>
        <w:tc>
          <w:tcPr>
            <w:tcW w:w="1942" w:type="dxa"/>
            <w:tcBorders>
              <w:left w:val="nil"/>
              <w:right w:val="single" w:sz="8" w:space="0" w:color="000000"/>
            </w:tcBorders>
            <w:shd w:val="clear" w:color="auto" w:fill="auto"/>
          </w:tcPr>
          <w:p w14:paraId="25F31409" w14:textId="77777777" w:rsidR="00FA3EB4" w:rsidRPr="00B92332" w:rsidRDefault="00FA3EB4" w:rsidP="00FA3EB4">
            <w:pPr>
              <w:jc w:val="right"/>
            </w:pPr>
          </w:p>
        </w:tc>
      </w:tr>
      <w:tr w:rsidR="00FA3EB4" w:rsidRPr="00975B07" w14:paraId="2DC29267" w14:textId="77777777" w:rsidTr="00FA3EB4">
        <w:trPr>
          <w:trHeight w:val="283"/>
        </w:trPr>
        <w:tc>
          <w:tcPr>
            <w:tcW w:w="426" w:type="dxa"/>
            <w:tcBorders>
              <w:top w:val="nil"/>
              <w:left w:val="single" w:sz="8" w:space="0" w:color="000000"/>
              <w:bottom w:val="single" w:sz="8" w:space="0" w:color="000000"/>
              <w:right w:val="nil"/>
            </w:tcBorders>
          </w:tcPr>
          <w:p w14:paraId="342E8F9A" w14:textId="77777777" w:rsidR="00FA3EB4" w:rsidRPr="00975B07" w:rsidRDefault="00FA3EB4" w:rsidP="004A6D2F"/>
        </w:tc>
        <w:tc>
          <w:tcPr>
            <w:tcW w:w="4536" w:type="dxa"/>
            <w:gridSpan w:val="2"/>
            <w:tcBorders>
              <w:left w:val="nil"/>
              <w:bottom w:val="single" w:sz="8" w:space="0" w:color="000000"/>
              <w:right w:val="single" w:sz="8" w:space="0" w:color="000000"/>
            </w:tcBorders>
            <w:shd w:val="clear" w:color="auto" w:fill="auto"/>
          </w:tcPr>
          <w:p w14:paraId="7947CD26" w14:textId="77777777" w:rsidR="00FA3EB4" w:rsidRPr="001356F1" w:rsidRDefault="00FA3EB4" w:rsidP="00247C29">
            <w:r>
              <w:t>City Council Total</w:t>
            </w:r>
          </w:p>
        </w:tc>
        <w:tc>
          <w:tcPr>
            <w:tcW w:w="1941" w:type="dxa"/>
            <w:tcBorders>
              <w:left w:val="nil"/>
              <w:bottom w:val="single" w:sz="8" w:space="0" w:color="000000"/>
              <w:right w:val="nil"/>
            </w:tcBorders>
            <w:shd w:val="clear" w:color="auto" w:fill="auto"/>
          </w:tcPr>
          <w:p w14:paraId="52963293" w14:textId="63D95B06" w:rsidR="00FA3EB4" w:rsidRPr="00B92332" w:rsidRDefault="00FA3EB4" w:rsidP="00FA3EB4">
            <w:pPr>
              <w:jc w:val="right"/>
            </w:pPr>
            <w:r w:rsidRPr="00B92332">
              <w:t>4</w:t>
            </w:r>
            <w:r w:rsidR="00935E10">
              <w:t>7</w:t>
            </w:r>
            <w:r w:rsidRPr="00B92332">
              <w:t>,</w:t>
            </w:r>
            <w:r w:rsidR="00935E10">
              <w:t>637</w:t>
            </w:r>
            <w:r w:rsidRPr="00B92332">
              <w:t>.</w:t>
            </w:r>
            <w:r w:rsidR="00935E10">
              <w:t>8</w:t>
            </w:r>
          </w:p>
        </w:tc>
        <w:tc>
          <w:tcPr>
            <w:tcW w:w="1942" w:type="dxa"/>
            <w:tcBorders>
              <w:left w:val="nil"/>
              <w:bottom w:val="single" w:sz="8" w:space="0" w:color="000000"/>
              <w:right w:val="single" w:sz="8" w:space="0" w:color="000000"/>
            </w:tcBorders>
            <w:shd w:val="clear" w:color="auto" w:fill="auto"/>
          </w:tcPr>
          <w:p w14:paraId="671F1056" w14:textId="77777777" w:rsidR="00FA3EB4" w:rsidRPr="00B92332" w:rsidRDefault="00FA3EB4" w:rsidP="00FA3EB4">
            <w:pPr>
              <w:jc w:val="right"/>
            </w:pPr>
          </w:p>
        </w:tc>
      </w:tr>
    </w:tbl>
    <w:p w14:paraId="1C77471F" w14:textId="77777777" w:rsidR="00CE544A" w:rsidRPr="009E51FC" w:rsidRDefault="00CE544A" w:rsidP="004A6D2F"/>
    <w:p w14:paraId="26F0319A" w14:textId="77777777" w:rsidR="00130F62" w:rsidRDefault="00130F62">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8"/>
        <w:gridCol w:w="6406"/>
      </w:tblGrid>
      <w:tr w:rsidR="00966D42" w:rsidRPr="00975B07" w14:paraId="3EA8AB0B" w14:textId="77777777" w:rsidTr="00A46E98">
        <w:tc>
          <w:tcPr>
            <w:tcW w:w="8844" w:type="dxa"/>
            <w:gridSpan w:val="2"/>
            <w:tcBorders>
              <w:top w:val="single" w:sz="8" w:space="0" w:color="000000"/>
              <w:left w:val="single" w:sz="8" w:space="0" w:color="000000"/>
              <w:bottom w:val="single" w:sz="8" w:space="0" w:color="000000"/>
              <w:right w:val="single" w:sz="8" w:space="0" w:color="000000"/>
            </w:tcBorders>
            <w:shd w:val="clear" w:color="auto" w:fill="auto"/>
          </w:tcPr>
          <w:p w14:paraId="67ABA368" w14:textId="77777777" w:rsidR="00966D42" w:rsidRPr="00975B07" w:rsidRDefault="00966D42" w:rsidP="00263EA3">
            <w:pPr>
              <w:jc w:val="center"/>
            </w:pPr>
            <w:r w:rsidRPr="00745BF0">
              <w:rPr>
                <w:rStyle w:val="Firstpagetablebold"/>
              </w:rPr>
              <w:lastRenderedPageBreak/>
              <w:t>Appendices</w:t>
            </w:r>
          </w:p>
        </w:tc>
      </w:tr>
      <w:tr w:rsidR="00ED5860" w:rsidRPr="00975B07" w14:paraId="5D4830AB" w14:textId="77777777" w:rsidTr="00A46E98">
        <w:tc>
          <w:tcPr>
            <w:tcW w:w="2438" w:type="dxa"/>
            <w:tcBorders>
              <w:top w:val="single" w:sz="8" w:space="0" w:color="000000"/>
              <w:left w:val="single" w:sz="8" w:space="0" w:color="000000"/>
              <w:bottom w:val="nil"/>
              <w:right w:val="nil"/>
            </w:tcBorders>
            <w:shd w:val="clear" w:color="auto" w:fill="auto"/>
          </w:tcPr>
          <w:p w14:paraId="67B68BCD" w14:textId="77777777" w:rsidR="00ED5860" w:rsidRPr="00975B07" w:rsidRDefault="00ED5860" w:rsidP="004A6D2F">
            <w:r w:rsidRPr="00975B07">
              <w:t>Appendix 1</w:t>
            </w:r>
          </w:p>
        </w:tc>
        <w:tc>
          <w:tcPr>
            <w:tcW w:w="6406" w:type="dxa"/>
            <w:tcBorders>
              <w:top w:val="single" w:sz="8" w:space="0" w:color="000000"/>
              <w:left w:val="nil"/>
              <w:bottom w:val="nil"/>
              <w:right w:val="single" w:sz="8" w:space="0" w:color="000000"/>
            </w:tcBorders>
          </w:tcPr>
          <w:p w14:paraId="611E2A43" w14:textId="5A819EB9" w:rsidR="00ED5860" w:rsidRPr="001356F1" w:rsidRDefault="00E33416" w:rsidP="00130F62">
            <w:r w:rsidRPr="007D6BC6">
              <w:rPr>
                <w:bCs/>
              </w:rPr>
              <w:t xml:space="preserve">Oxford City Council </w:t>
            </w:r>
            <w:r>
              <w:rPr>
                <w:bCs/>
              </w:rPr>
              <w:t>T</w:t>
            </w:r>
            <w:r w:rsidRPr="007D6BC6">
              <w:rPr>
                <w:bCs/>
              </w:rPr>
              <w:t xml:space="preserve">ax </w:t>
            </w:r>
            <w:r>
              <w:rPr>
                <w:bCs/>
              </w:rPr>
              <w:t>B</w:t>
            </w:r>
            <w:r w:rsidRPr="007D6BC6">
              <w:rPr>
                <w:bCs/>
              </w:rPr>
              <w:t>ase 20</w:t>
            </w:r>
            <w:r>
              <w:rPr>
                <w:bCs/>
              </w:rPr>
              <w:t>2</w:t>
            </w:r>
            <w:r w:rsidR="00935E10">
              <w:rPr>
                <w:bCs/>
              </w:rPr>
              <w:t>5</w:t>
            </w:r>
            <w:r w:rsidR="001B3E41">
              <w:rPr>
                <w:bCs/>
              </w:rPr>
              <w:t>-2</w:t>
            </w:r>
            <w:r w:rsidR="00935E10">
              <w:rPr>
                <w:bCs/>
              </w:rPr>
              <w:t>6</w:t>
            </w:r>
          </w:p>
        </w:tc>
      </w:tr>
      <w:tr w:rsidR="00ED5860" w:rsidRPr="00975B07" w14:paraId="740FC6E2" w14:textId="77777777" w:rsidTr="00A46E98">
        <w:tc>
          <w:tcPr>
            <w:tcW w:w="2438" w:type="dxa"/>
            <w:tcBorders>
              <w:top w:val="nil"/>
              <w:left w:val="single" w:sz="8" w:space="0" w:color="000000"/>
              <w:bottom w:val="nil"/>
              <w:right w:val="nil"/>
            </w:tcBorders>
            <w:shd w:val="clear" w:color="auto" w:fill="auto"/>
          </w:tcPr>
          <w:p w14:paraId="357FF247" w14:textId="77777777" w:rsidR="00ED5860" w:rsidRPr="00975B07" w:rsidRDefault="0030208D" w:rsidP="004A6D2F">
            <w:r w:rsidRPr="00975B07">
              <w:t>Appendix 2</w:t>
            </w:r>
          </w:p>
        </w:tc>
        <w:tc>
          <w:tcPr>
            <w:tcW w:w="6406" w:type="dxa"/>
            <w:tcBorders>
              <w:top w:val="nil"/>
              <w:left w:val="nil"/>
              <w:bottom w:val="nil"/>
              <w:right w:val="single" w:sz="8" w:space="0" w:color="000000"/>
            </w:tcBorders>
          </w:tcPr>
          <w:p w14:paraId="087E65B0" w14:textId="77A2ED8D" w:rsidR="00ED5860" w:rsidRPr="001356F1" w:rsidRDefault="00E33416" w:rsidP="00130F62">
            <w:r w:rsidRPr="007D6BC6">
              <w:rPr>
                <w:bCs/>
              </w:rPr>
              <w:t>Parish Councils</w:t>
            </w:r>
            <w:r>
              <w:rPr>
                <w:bCs/>
              </w:rPr>
              <w:t>’</w:t>
            </w:r>
            <w:r w:rsidRPr="007D6BC6">
              <w:rPr>
                <w:bCs/>
              </w:rPr>
              <w:t xml:space="preserve"> Tax Base</w:t>
            </w:r>
            <w:r>
              <w:rPr>
                <w:bCs/>
              </w:rPr>
              <w:t>s</w:t>
            </w:r>
            <w:r w:rsidRPr="007D6BC6">
              <w:rPr>
                <w:bCs/>
              </w:rPr>
              <w:t xml:space="preserve"> 20</w:t>
            </w:r>
            <w:r>
              <w:rPr>
                <w:bCs/>
              </w:rPr>
              <w:t>2</w:t>
            </w:r>
            <w:r w:rsidR="00935E10">
              <w:rPr>
                <w:bCs/>
              </w:rPr>
              <w:t>5</w:t>
            </w:r>
            <w:r>
              <w:rPr>
                <w:bCs/>
              </w:rPr>
              <w:t>-2</w:t>
            </w:r>
            <w:r w:rsidR="00935E10">
              <w:rPr>
                <w:bCs/>
              </w:rPr>
              <w:t>6</w:t>
            </w:r>
          </w:p>
        </w:tc>
      </w:tr>
      <w:tr w:rsidR="0030208D" w:rsidRPr="00975B07" w14:paraId="3426183C" w14:textId="77777777" w:rsidTr="00682E3E">
        <w:trPr>
          <w:trHeight w:val="284"/>
        </w:trPr>
        <w:tc>
          <w:tcPr>
            <w:tcW w:w="2438" w:type="dxa"/>
            <w:tcBorders>
              <w:top w:val="nil"/>
              <w:left w:val="single" w:sz="8" w:space="0" w:color="000000"/>
              <w:bottom w:val="nil"/>
              <w:right w:val="nil"/>
            </w:tcBorders>
            <w:shd w:val="clear" w:color="auto" w:fill="auto"/>
          </w:tcPr>
          <w:p w14:paraId="1C4DC3EA" w14:textId="77777777" w:rsidR="0030208D" w:rsidRPr="00975B07" w:rsidRDefault="0030208D" w:rsidP="004A6D2F">
            <w:r w:rsidRPr="00975B07">
              <w:t>Appendix 3</w:t>
            </w:r>
          </w:p>
        </w:tc>
        <w:tc>
          <w:tcPr>
            <w:tcW w:w="6406" w:type="dxa"/>
            <w:tcBorders>
              <w:top w:val="nil"/>
              <w:left w:val="nil"/>
              <w:bottom w:val="nil"/>
              <w:right w:val="single" w:sz="8" w:space="0" w:color="000000"/>
            </w:tcBorders>
          </w:tcPr>
          <w:p w14:paraId="6E61AC91" w14:textId="10F548DE" w:rsidR="0030208D" w:rsidRPr="001356F1" w:rsidRDefault="00E33416" w:rsidP="00B003A0">
            <w:r w:rsidRPr="007D6BC6">
              <w:rPr>
                <w:bCs/>
              </w:rPr>
              <w:t>Dwellings by valuation band</w:t>
            </w:r>
            <w:r w:rsidR="001B3E41">
              <w:rPr>
                <w:bCs/>
              </w:rPr>
              <w:t xml:space="preserve"> as</w:t>
            </w:r>
            <w:r w:rsidRPr="007D6BC6">
              <w:rPr>
                <w:bCs/>
              </w:rPr>
              <w:t xml:space="preserve"> </w:t>
            </w:r>
            <w:proofErr w:type="gramStart"/>
            <w:r w:rsidRPr="007D6BC6">
              <w:rPr>
                <w:bCs/>
              </w:rPr>
              <w:t>at</w:t>
            </w:r>
            <w:proofErr w:type="gramEnd"/>
            <w:r w:rsidRPr="007D6BC6">
              <w:rPr>
                <w:bCs/>
              </w:rPr>
              <w:t xml:space="preserve"> </w:t>
            </w:r>
            <w:r w:rsidR="00592AC8">
              <w:rPr>
                <w:bCs/>
              </w:rPr>
              <w:t>30</w:t>
            </w:r>
            <w:r w:rsidRPr="00FA3EB4">
              <w:rPr>
                <w:bCs/>
              </w:rPr>
              <w:t xml:space="preserve"> Nov</w:t>
            </w:r>
            <w:r w:rsidR="00B003A0">
              <w:rPr>
                <w:bCs/>
              </w:rPr>
              <w:t>ember</w:t>
            </w:r>
            <w:r w:rsidRPr="00FA3EB4">
              <w:rPr>
                <w:bCs/>
              </w:rPr>
              <w:t xml:space="preserve"> 202</w:t>
            </w:r>
            <w:r w:rsidR="00935E10">
              <w:rPr>
                <w:bCs/>
              </w:rPr>
              <w:t>4</w:t>
            </w:r>
          </w:p>
        </w:tc>
      </w:tr>
      <w:tr w:rsidR="00E33416" w:rsidRPr="00975B07" w14:paraId="14DFC6D9" w14:textId="77777777" w:rsidTr="00A46E98">
        <w:tc>
          <w:tcPr>
            <w:tcW w:w="2438" w:type="dxa"/>
            <w:tcBorders>
              <w:top w:val="nil"/>
              <w:left w:val="single" w:sz="8" w:space="0" w:color="000000"/>
              <w:bottom w:val="single" w:sz="8" w:space="0" w:color="000000"/>
              <w:right w:val="nil"/>
            </w:tcBorders>
            <w:shd w:val="clear" w:color="auto" w:fill="auto"/>
          </w:tcPr>
          <w:p w14:paraId="347C7C75" w14:textId="77777777" w:rsidR="00E33416" w:rsidRPr="00975B07" w:rsidRDefault="00E33416" w:rsidP="006F6546">
            <w:r w:rsidRPr="00975B07">
              <w:t xml:space="preserve">Appendix </w:t>
            </w:r>
            <w:r w:rsidR="006F6546">
              <w:t>4</w:t>
            </w:r>
          </w:p>
        </w:tc>
        <w:tc>
          <w:tcPr>
            <w:tcW w:w="6406" w:type="dxa"/>
            <w:tcBorders>
              <w:top w:val="nil"/>
              <w:left w:val="nil"/>
              <w:bottom w:val="single" w:sz="8" w:space="0" w:color="000000"/>
              <w:right w:val="single" w:sz="8" w:space="0" w:color="000000"/>
            </w:tcBorders>
          </w:tcPr>
          <w:p w14:paraId="26BF52FF" w14:textId="77777777" w:rsidR="00E33416" w:rsidRPr="001356F1" w:rsidRDefault="00E33416" w:rsidP="00E33416">
            <w:r>
              <w:rPr>
                <w:bCs/>
              </w:rPr>
              <w:t>Risk Register</w:t>
            </w:r>
          </w:p>
        </w:tc>
      </w:tr>
    </w:tbl>
    <w:p w14:paraId="67DC2DE0" w14:textId="77777777" w:rsidR="0040736F" w:rsidRPr="001356F1" w:rsidRDefault="00F66DCA" w:rsidP="004A6D2F">
      <w:pPr>
        <w:pStyle w:val="Heading1"/>
      </w:pPr>
      <w:r w:rsidRPr="001356F1">
        <w:t>Introduction and b</w:t>
      </w:r>
      <w:r w:rsidR="00151888" w:rsidRPr="001356F1">
        <w:t>ackground</w:t>
      </w:r>
      <w:r w:rsidR="00404032" w:rsidRPr="001356F1">
        <w:t xml:space="preserve"> </w:t>
      </w:r>
    </w:p>
    <w:p w14:paraId="04D8C950" w14:textId="77777777" w:rsidR="00E33416" w:rsidRPr="00E33416" w:rsidRDefault="00E33416" w:rsidP="00E33416">
      <w:pPr>
        <w:pStyle w:val="bParagraphtext"/>
      </w:pPr>
      <w:r w:rsidRPr="00E33416">
        <w:t>Responsibility for setting the Council Tax Base for the City Council’s area as a whole and for the individual parishes is delegated to the Audit and Governance Committee.</w:t>
      </w:r>
    </w:p>
    <w:p w14:paraId="0BAFBADD" w14:textId="01287686" w:rsidR="00E33416" w:rsidRPr="00130F62" w:rsidRDefault="00E33416" w:rsidP="00E33416">
      <w:pPr>
        <w:pStyle w:val="bParagraphtext"/>
      </w:pPr>
      <w:r w:rsidRPr="00E33416">
        <w:t xml:space="preserve">The Tax Base is the estimate of the taxable capacity of the area for the period. The numbers of dwellings in each valuation band are converted to Band D equivalents. The starting point is the current number of dwellings, exemptions and discounts as </w:t>
      </w:r>
      <w:proofErr w:type="gramStart"/>
      <w:r w:rsidRPr="00E02888">
        <w:t>at</w:t>
      </w:r>
      <w:proofErr w:type="gramEnd"/>
      <w:r w:rsidRPr="00E02888">
        <w:t xml:space="preserve"> </w:t>
      </w:r>
      <w:r w:rsidR="00592AC8" w:rsidRPr="00E02888">
        <w:t>30</w:t>
      </w:r>
      <w:r w:rsidRPr="00E02888">
        <w:t xml:space="preserve"> November 20</w:t>
      </w:r>
      <w:r w:rsidR="00353F45" w:rsidRPr="00E02888">
        <w:t>2</w:t>
      </w:r>
      <w:r w:rsidR="00935E10">
        <w:t>4</w:t>
      </w:r>
      <w:r w:rsidRPr="00E02888">
        <w:t xml:space="preserve"> and projections are then made for expected movements over the period 1 December 20</w:t>
      </w:r>
      <w:r w:rsidR="00353F45" w:rsidRPr="00E02888">
        <w:t>2</w:t>
      </w:r>
      <w:r w:rsidR="00935E10">
        <w:t>4</w:t>
      </w:r>
      <w:r w:rsidRPr="00E02888">
        <w:t xml:space="preserve"> </w:t>
      </w:r>
      <w:r w:rsidR="00B003A0" w:rsidRPr="00E02888">
        <w:t>-</w:t>
      </w:r>
      <w:r w:rsidRPr="00E02888">
        <w:t xml:space="preserve"> 31 March 202</w:t>
      </w:r>
      <w:r w:rsidR="00935E10">
        <w:t>6</w:t>
      </w:r>
      <w:r w:rsidRPr="00E02888">
        <w:t>. Separate calculations are required for a) the whole of the Authority’s area and b</w:t>
      </w:r>
      <w:r w:rsidRPr="00E33416">
        <w:t xml:space="preserve">) the individual Parishes and the </w:t>
      </w:r>
      <w:r w:rsidRPr="00130F62">
        <w:t xml:space="preserve">Unparished area of the City. </w:t>
      </w:r>
    </w:p>
    <w:p w14:paraId="6FA0579F" w14:textId="47FFF749" w:rsidR="00E33416" w:rsidRPr="00E33416" w:rsidRDefault="00E33416" w:rsidP="00E33416">
      <w:pPr>
        <w:pStyle w:val="bParagraphtext"/>
        <w:rPr>
          <w:b/>
        </w:rPr>
      </w:pPr>
      <w:r w:rsidRPr="00130F62">
        <w:t>The Tax Base is used by the Council to calculate the yield from Council Tax for</w:t>
      </w:r>
      <w:r w:rsidRPr="00E33416">
        <w:t xml:space="preserve"> 202</w:t>
      </w:r>
      <w:r w:rsidR="00935E10">
        <w:t>5</w:t>
      </w:r>
      <w:r w:rsidR="001B3E41">
        <w:t>/2</w:t>
      </w:r>
      <w:r w:rsidR="00935E10">
        <w:t>6</w:t>
      </w:r>
      <w:r w:rsidRPr="00E33416">
        <w:t>, and by Oxfordshire County Council and the Police and Crime Commissioner (Thames Valley) to apportion their precepts from 1 April 202</w:t>
      </w:r>
      <w:r w:rsidR="00935E10">
        <w:t>5</w:t>
      </w:r>
      <w:r w:rsidRPr="00E33416">
        <w:t>.</w:t>
      </w:r>
    </w:p>
    <w:p w14:paraId="754E5676" w14:textId="77777777" w:rsidR="00E33416" w:rsidRPr="00E33416" w:rsidRDefault="00E33416" w:rsidP="00E33416">
      <w:pPr>
        <w:pStyle w:val="Heading1"/>
      </w:pPr>
      <w:r w:rsidRPr="00101AD2">
        <w:t xml:space="preserve">Council Tax </w:t>
      </w:r>
      <w:r w:rsidR="00BB27A6" w:rsidRPr="00101AD2">
        <w:t>Reduction</w:t>
      </w:r>
      <w:r w:rsidRPr="00101AD2">
        <w:t xml:space="preserve"> Scheme</w:t>
      </w:r>
    </w:p>
    <w:p w14:paraId="5957D5B1" w14:textId="2227F793" w:rsidR="00875125" w:rsidRPr="00880271" w:rsidRDefault="00875125" w:rsidP="002A7BFB">
      <w:pPr>
        <w:pStyle w:val="ListParagraph"/>
      </w:pPr>
      <w:r>
        <w:t>The City Council</w:t>
      </w:r>
      <w:r w:rsidR="00D74D47">
        <w:t>’s</w:t>
      </w:r>
      <w:r>
        <w:t xml:space="preserve"> share of t</w:t>
      </w:r>
      <w:r w:rsidR="00E33416" w:rsidRPr="002C2E21">
        <w:t xml:space="preserve">he cost of the Council Tax </w:t>
      </w:r>
      <w:r w:rsidR="00BB27A6">
        <w:t>Reduction</w:t>
      </w:r>
      <w:r w:rsidR="00E33416" w:rsidRPr="002C2E21">
        <w:t xml:space="preserve"> scheme</w:t>
      </w:r>
      <w:r w:rsidR="00F13BCA">
        <w:t xml:space="preserve"> arising </w:t>
      </w:r>
      <w:r w:rsidR="00F13BCA" w:rsidRPr="00F36002">
        <w:t>from reduced council tax income is</w:t>
      </w:r>
      <w:r w:rsidR="00E33416" w:rsidRPr="00F36002">
        <w:t xml:space="preserve"> currently estimated at </w:t>
      </w:r>
      <w:r w:rsidR="00E33416" w:rsidRPr="00E02888">
        <w:t>£</w:t>
      </w:r>
      <w:r w:rsidR="00167A2A">
        <w:t>2</w:t>
      </w:r>
      <w:r w:rsidR="00E33416" w:rsidRPr="00E02888">
        <w:t>.</w:t>
      </w:r>
      <w:r w:rsidR="00167A2A">
        <w:t>1</w:t>
      </w:r>
      <w:r w:rsidR="00E33416" w:rsidRPr="00E02888">
        <w:t xml:space="preserve"> million</w:t>
      </w:r>
      <w:r w:rsidR="00E33416" w:rsidRPr="00F36002">
        <w:t xml:space="preserve"> </w:t>
      </w:r>
      <w:r w:rsidRPr="00F36002">
        <w:rPr>
          <w:rFonts w:cs="Arial"/>
        </w:rPr>
        <w:t xml:space="preserve">(based on a band D equivalent </w:t>
      </w:r>
      <w:r w:rsidR="003D7383" w:rsidRPr="00F36002">
        <w:rPr>
          <w:rFonts w:cs="Arial"/>
        </w:rPr>
        <w:t xml:space="preserve">number of properties </w:t>
      </w:r>
      <w:r w:rsidRPr="00F36002">
        <w:rPr>
          <w:rFonts w:cs="Arial"/>
        </w:rPr>
        <w:t xml:space="preserve">of </w:t>
      </w:r>
      <w:r w:rsidR="00704E5A">
        <w:rPr>
          <w:rFonts w:cs="Arial"/>
        </w:rPr>
        <w:t>5</w:t>
      </w:r>
      <w:r w:rsidRPr="00E02888">
        <w:rPr>
          <w:rFonts w:cs="Arial"/>
        </w:rPr>
        <w:t>,</w:t>
      </w:r>
      <w:r w:rsidR="00167A2A">
        <w:rPr>
          <w:rFonts w:cs="Arial"/>
        </w:rPr>
        <w:t>878</w:t>
      </w:r>
      <w:r w:rsidRPr="00E02888">
        <w:rPr>
          <w:rFonts w:cs="Arial"/>
        </w:rPr>
        <w:t>.</w:t>
      </w:r>
      <w:r w:rsidR="00167A2A">
        <w:rPr>
          <w:rFonts w:cs="Arial"/>
        </w:rPr>
        <w:t>0</w:t>
      </w:r>
      <w:r w:rsidRPr="00F36002">
        <w:rPr>
          <w:rFonts w:cs="Arial"/>
        </w:rPr>
        <w:t xml:space="preserve"> </w:t>
      </w:r>
      <w:r w:rsidR="00C24CC7" w:rsidRPr="00F36002">
        <w:rPr>
          <w:rFonts w:cs="Arial"/>
        </w:rPr>
        <w:t>[</w:t>
      </w:r>
      <w:r w:rsidR="00F36002">
        <w:rPr>
          <w:rFonts w:cs="Arial"/>
        </w:rPr>
        <w:t xml:space="preserve">the </w:t>
      </w:r>
      <w:r w:rsidR="00C24CC7" w:rsidRPr="00F36002">
        <w:rPr>
          <w:rFonts w:cs="Arial"/>
        </w:rPr>
        <w:t xml:space="preserve">actual number of properties is </w:t>
      </w:r>
      <w:r w:rsidR="00704E5A">
        <w:rPr>
          <w:rFonts w:cs="Arial"/>
        </w:rPr>
        <w:t>6</w:t>
      </w:r>
      <w:r w:rsidR="00C24CC7" w:rsidRPr="00160319">
        <w:rPr>
          <w:rFonts w:cs="Arial"/>
        </w:rPr>
        <w:t>,</w:t>
      </w:r>
      <w:r w:rsidR="00167A2A">
        <w:rPr>
          <w:rFonts w:cs="Arial"/>
        </w:rPr>
        <w:t>754</w:t>
      </w:r>
      <w:r w:rsidR="00C24CC7" w:rsidRPr="00160319">
        <w:rPr>
          <w:rFonts w:cs="Arial"/>
        </w:rPr>
        <w:t>.</w:t>
      </w:r>
      <w:r w:rsidR="00167A2A">
        <w:rPr>
          <w:rFonts w:cs="Arial"/>
        </w:rPr>
        <w:t>2</w:t>
      </w:r>
      <w:r w:rsidR="00C24CC7" w:rsidRPr="00F36002">
        <w:rPr>
          <w:rFonts w:cs="Arial"/>
        </w:rPr>
        <w:t xml:space="preserve">] </w:t>
      </w:r>
      <w:r w:rsidRPr="00F36002">
        <w:rPr>
          <w:rFonts w:cs="Arial"/>
        </w:rPr>
        <w:t>receiving support and</w:t>
      </w:r>
      <w:r w:rsidRPr="00875125">
        <w:rPr>
          <w:rFonts w:cs="Arial"/>
        </w:rPr>
        <w:t xml:space="preserve"> </w:t>
      </w:r>
      <w:r w:rsidRPr="00160319">
        <w:rPr>
          <w:rFonts w:cs="Arial"/>
        </w:rPr>
        <w:t>a 2.99%</w:t>
      </w:r>
      <w:r w:rsidRPr="00875125">
        <w:rPr>
          <w:rFonts w:cs="Arial"/>
        </w:rPr>
        <w:t xml:space="preserve"> </w:t>
      </w:r>
      <w:r w:rsidR="003D7383">
        <w:rPr>
          <w:rFonts w:cs="Arial"/>
        </w:rPr>
        <w:t xml:space="preserve">Council Tax </w:t>
      </w:r>
      <w:r w:rsidRPr="00875125">
        <w:rPr>
          <w:rFonts w:cs="Arial"/>
        </w:rPr>
        <w:t>increase on the City band D charge [including Parishes]</w:t>
      </w:r>
      <w:r w:rsidR="003D7383">
        <w:rPr>
          <w:rFonts w:cs="Arial"/>
        </w:rPr>
        <w:t xml:space="preserve"> recommended for 202</w:t>
      </w:r>
      <w:r w:rsidR="00167A2A">
        <w:rPr>
          <w:rFonts w:cs="Arial"/>
        </w:rPr>
        <w:t>5</w:t>
      </w:r>
      <w:r w:rsidR="003D7383">
        <w:rPr>
          <w:rFonts w:cs="Arial"/>
        </w:rPr>
        <w:t>/2</w:t>
      </w:r>
      <w:r w:rsidR="00167A2A">
        <w:rPr>
          <w:rFonts w:cs="Arial"/>
        </w:rPr>
        <w:t>6</w:t>
      </w:r>
      <w:r w:rsidRPr="00875125">
        <w:rPr>
          <w:rFonts w:cs="Arial"/>
        </w:rPr>
        <w:t>)</w:t>
      </w:r>
      <w:r w:rsidRPr="002C2E21">
        <w:t>.</w:t>
      </w:r>
      <w:r>
        <w:t xml:space="preserve"> This has the effect of </w:t>
      </w:r>
      <w:r w:rsidRPr="00880271">
        <w:t xml:space="preserve">reducing the Council Tax precept </w:t>
      </w:r>
      <w:r w:rsidR="003D7383" w:rsidRPr="00880271">
        <w:t xml:space="preserve">income </w:t>
      </w:r>
      <w:r w:rsidRPr="00880271">
        <w:t>that the City Council can receive.</w:t>
      </w:r>
    </w:p>
    <w:p w14:paraId="3FF6D675" w14:textId="2E7C1E18" w:rsidR="00167A2A" w:rsidRPr="00101AD2" w:rsidRDefault="00D74D47" w:rsidP="00101AD2">
      <w:pPr>
        <w:pStyle w:val="bParagraphtext"/>
        <w:rPr>
          <w:b/>
        </w:rPr>
      </w:pPr>
      <w:r w:rsidRPr="00167A2A">
        <w:rPr>
          <w:rFonts w:cs="Arial"/>
        </w:rPr>
        <w:t>The caseload estimate included in the 202</w:t>
      </w:r>
      <w:r w:rsidR="00167A2A" w:rsidRPr="00167A2A">
        <w:rPr>
          <w:rFonts w:cs="Arial"/>
        </w:rPr>
        <w:t>5</w:t>
      </w:r>
      <w:r w:rsidRPr="00167A2A">
        <w:rPr>
          <w:rFonts w:cs="Arial"/>
        </w:rPr>
        <w:t>/2</w:t>
      </w:r>
      <w:r w:rsidR="00167A2A" w:rsidRPr="00167A2A">
        <w:rPr>
          <w:rFonts w:cs="Arial"/>
        </w:rPr>
        <w:t>6</w:t>
      </w:r>
      <w:r w:rsidRPr="00167A2A">
        <w:rPr>
          <w:rFonts w:cs="Arial"/>
        </w:rPr>
        <w:t xml:space="preserve"> Tax Base calculation </w:t>
      </w:r>
      <w:r w:rsidR="00145C4B" w:rsidRPr="00167A2A">
        <w:rPr>
          <w:rFonts w:cs="Arial"/>
        </w:rPr>
        <w:t>is an average level of the actual 202</w:t>
      </w:r>
      <w:r w:rsidR="00167A2A" w:rsidRPr="00167A2A">
        <w:rPr>
          <w:rFonts w:cs="Arial"/>
        </w:rPr>
        <w:t>4</w:t>
      </w:r>
      <w:r w:rsidR="00145C4B" w:rsidRPr="00167A2A">
        <w:rPr>
          <w:rFonts w:cs="Arial"/>
        </w:rPr>
        <w:t>/2</w:t>
      </w:r>
      <w:r w:rsidR="00167A2A" w:rsidRPr="00167A2A">
        <w:rPr>
          <w:rFonts w:cs="Arial"/>
        </w:rPr>
        <w:t>5</w:t>
      </w:r>
      <w:r w:rsidR="00145C4B" w:rsidRPr="00167A2A">
        <w:rPr>
          <w:rFonts w:cs="Arial"/>
        </w:rPr>
        <w:t xml:space="preserve"> caseload. </w:t>
      </w:r>
      <w:r w:rsidR="00167A2A" w:rsidRPr="00101AD2">
        <w:rPr>
          <w:rFonts w:cs="Arial"/>
        </w:rPr>
        <w:t>An average of the 2024/25 caseload can be used to estimate the caseload for 2025/26 as the Council</w:t>
      </w:r>
      <w:r w:rsidR="005E3376">
        <w:rPr>
          <w:rFonts w:cs="Arial"/>
        </w:rPr>
        <w:t>’s</w:t>
      </w:r>
      <w:r w:rsidR="00167A2A" w:rsidRPr="00101AD2">
        <w:rPr>
          <w:rFonts w:cs="Arial"/>
        </w:rPr>
        <w:t xml:space="preserve"> Revenues </w:t>
      </w:r>
      <w:r w:rsidR="005E3376">
        <w:rPr>
          <w:rFonts w:cs="Arial"/>
        </w:rPr>
        <w:t>T</w:t>
      </w:r>
      <w:r w:rsidR="00167A2A" w:rsidRPr="00101AD2">
        <w:rPr>
          <w:rFonts w:cs="Arial"/>
        </w:rPr>
        <w:t>eam continually monitor the caseload in line with the eligibility criteria and as such, it is felt a prudent approach of using the 2024/25 average caseload is accurate for the 2025/26 Tax Base calculation.</w:t>
      </w:r>
    </w:p>
    <w:p w14:paraId="6D359794" w14:textId="77777777" w:rsidR="00E33416" w:rsidRPr="00E33416" w:rsidRDefault="00E33416" w:rsidP="00E33416">
      <w:pPr>
        <w:pStyle w:val="Heading1"/>
      </w:pPr>
      <w:r w:rsidRPr="00E33416">
        <w:t xml:space="preserve">Factors </w:t>
      </w:r>
      <w:proofErr w:type="gramStart"/>
      <w:r w:rsidRPr="00E33416">
        <w:t>taken into account</w:t>
      </w:r>
      <w:proofErr w:type="gramEnd"/>
      <w:r w:rsidRPr="00E33416">
        <w:t xml:space="preserve"> in the calculation of the Tax Base</w:t>
      </w:r>
    </w:p>
    <w:p w14:paraId="3C04ED78" w14:textId="77777777" w:rsidR="00E33416" w:rsidRPr="00825409" w:rsidRDefault="00E33416" w:rsidP="00E33416">
      <w:pPr>
        <w:pStyle w:val="bParagraphtext"/>
      </w:pPr>
      <w:r w:rsidRPr="00825409">
        <w:t>The following factors are taken into account when calculating the tax base:</w:t>
      </w:r>
    </w:p>
    <w:p w14:paraId="2416F33B" w14:textId="7837516C" w:rsidR="00E33416" w:rsidRDefault="00E33416" w:rsidP="00E33416">
      <w:pPr>
        <w:pStyle w:val="Bulletpoints"/>
      </w:pPr>
      <w:r w:rsidRPr="00192D41">
        <w:rPr>
          <w:b/>
          <w:bCs/>
        </w:rPr>
        <w:t>Dwellings:</w:t>
      </w:r>
      <w:r>
        <w:t xml:space="preserve"> The number of dwellings in each valuation band as </w:t>
      </w:r>
      <w:proofErr w:type="gramStart"/>
      <w:r>
        <w:t>at</w:t>
      </w:r>
      <w:proofErr w:type="gramEnd"/>
      <w:r>
        <w:t xml:space="preserve"> </w:t>
      </w:r>
      <w:r w:rsidR="003E218C">
        <w:t>30</w:t>
      </w:r>
      <w:r w:rsidRPr="00202716">
        <w:t xml:space="preserve"> November 20</w:t>
      </w:r>
      <w:r w:rsidR="00353F45" w:rsidRPr="00202716">
        <w:t>2</w:t>
      </w:r>
      <w:r w:rsidR="00997190">
        <w:t>4</w:t>
      </w:r>
      <w:r w:rsidR="005D2763">
        <w:t>, totalling 63,603</w:t>
      </w:r>
      <w:r>
        <w:t xml:space="preserve"> (Appendix 3 attached</w:t>
      </w:r>
      <w:r w:rsidR="003E218C">
        <w:t xml:space="preserve"> shows the bands as per the Valuation Office </w:t>
      </w:r>
      <w:r w:rsidR="00E2622C">
        <w:t xml:space="preserve">Agency </w:t>
      </w:r>
      <w:r w:rsidR="003E218C">
        <w:t>as at 2</w:t>
      </w:r>
      <w:r w:rsidR="00997190">
        <w:t>7</w:t>
      </w:r>
      <w:r w:rsidR="003E218C">
        <w:t xml:space="preserve"> November 202</w:t>
      </w:r>
      <w:r w:rsidR="00997190">
        <w:t>4</w:t>
      </w:r>
      <w:r w:rsidR="00E02888">
        <w:t xml:space="preserve">. This </w:t>
      </w:r>
      <w:r w:rsidR="003E218C">
        <w:t xml:space="preserve">is the </w:t>
      </w:r>
      <w:r w:rsidR="00E02888">
        <w:t>closest issued report to 30 November 202</w:t>
      </w:r>
      <w:r w:rsidR="00997190">
        <w:t>4</w:t>
      </w:r>
      <w:r w:rsidR="00E02888">
        <w:t xml:space="preserve"> from the Valuation Office</w:t>
      </w:r>
      <w:r w:rsidR="00E2622C">
        <w:t xml:space="preserve"> Agency</w:t>
      </w:r>
      <w:r w:rsidR="00E02888">
        <w:t>, with the base report from the Revenues system being run at the end of 30 November 202</w:t>
      </w:r>
      <w:r w:rsidR="00997190">
        <w:t>4</w:t>
      </w:r>
      <w:r>
        <w:t>).</w:t>
      </w:r>
    </w:p>
    <w:p w14:paraId="670219A3" w14:textId="77777777" w:rsidR="00221DC9" w:rsidRDefault="00221DC9">
      <w:pPr>
        <w:spacing w:after="0"/>
        <w:rPr>
          <w:b/>
          <w:bCs/>
        </w:rPr>
      </w:pPr>
      <w:r>
        <w:rPr>
          <w:b/>
          <w:bCs/>
        </w:rPr>
        <w:br w:type="page"/>
      </w:r>
    </w:p>
    <w:p w14:paraId="1F7DE1B9" w14:textId="3C0355DF" w:rsidR="00E33416" w:rsidRPr="005176F3" w:rsidRDefault="00E33416" w:rsidP="00E33416">
      <w:pPr>
        <w:pStyle w:val="Bulletpoints"/>
      </w:pPr>
      <w:r w:rsidRPr="005C4C91">
        <w:rPr>
          <w:b/>
          <w:bCs/>
        </w:rPr>
        <w:lastRenderedPageBreak/>
        <w:t>Exemptions and Discounts:</w:t>
      </w:r>
      <w:r>
        <w:t xml:space="preserve"> Not all </w:t>
      </w:r>
      <w:r w:rsidRPr="005176F3">
        <w:t xml:space="preserve">dwellings are liable for the full Council Tax charge, some are exempt. Others can attract a discount, either at 25%, 50% or 100% dependent on the number of adults who are resident. The level of exemptions and discounts reduces the Tax Base. </w:t>
      </w:r>
    </w:p>
    <w:p w14:paraId="627D130B" w14:textId="45785E6C" w:rsidR="005837A9" w:rsidRPr="005176F3" w:rsidRDefault="005837A9" w:rsidP="005837A9">
      <w:pPr>
        <w:pStyle w:val="Bulletpoints"/>
        <w:numPr>
          <w:ilvl w:val="1"/>
          <w:numId w:val="42"/>
        </w:numPr>
      </w:pPr>
      <w:r w:rsidRPr="005176F3">
        <w:t>The estimate of the number of dwellings that will be eligible for a 25% discount (primarily dwellings occupied by one adult only) is 18,</w:t>
      </w:r>
      <w:r>
        <w:t>792</w:t>
      </w:r>
      <w:r w:rsidRPr="005176F3">
        <w:t xml:space="preserve">. This figure is shown in line </w:t>
      </w:r>
      <w:r>
        <w:t>7</w:t>
      </w:r>
      <w:r w:rsidRPr="005176F3">
        <w:t xml:space="preserve"> of Appendix 1 and is based on data as </w:t>
      </w:r>
      <w:proofErr w:type="gramStart"/>
      <w:r w:rsidRPr="005176F3">
        <w:t>at</w:t>
      </w:r>
      <w:proofErr w:type="gramEnd"/>
      <w:r w:rsidRPr="005176F3">
        <w:t xml:space="preserve"> 30 November 202</w:t>
      </w:r>
      <w:r>
        <w:t>4</w:t>
      </w:r>
      <w:r w:rsidRPr="005176F3">
        <w:t>.</w:t>
      </w:r>
    </w:p>
    <w:p w14:paraId="7350864D" w14:textId="590143A7" w:rsidR="005837A9" w:rsidRPr="005176F3" w:rsidRDefault="005837A9" w:rsidP="005837A9">
      <w:pPr>
        <w:pStyle w:val="Bulletpoints"/>
        <w:numPr>
          <w:ilvl w:val="1"/>
          <w:numId w:val="42"/>
        </w:numPr>
      </w:pPr>
      <w:r w:rsidRPr="005176F3">
        <w:t>The estimate of the number of dwellings that will be eligible for a 50% discount (primarily dwellings where all the occupiers are disregarded) is 1</w:t>
      </w:r>
      <w:r>
        <w:t>57</w:t>
      </w:r>
      <w:r w:rsidRPr="005176F3">
        <w:t>.</w:t>
      </w:r>
      <w:r w:rsidR="00391154">
        <w:t xml:space="preserve"> </w:t>
      </w:r>
      <w:r w:rsidRPr="005176F3">
        <w:t xml:space="preserve">This figure is shown in line </w:t>
      </w:r>
      <w:r>
        <w:t>8</w:t>
      </w:r>
      <w:r w:rsidRPr="005176F3">
        <w:t xml:space="preserve"> of Appendix 1 and is based on data as </w:t>
      </w:r>
      <w:proofErr w:type="gramStart"/>
      <w:r w:rsidRPr="005176F3">
        <w:t>at</w:t>
      </w:r>
      <w:proofErr w:type="gramEnd"/>
      <w:r w:rsidRPr="005176F3">
        <w:t xml:space="preserve"> 30 November 202</w:t>
      </w:r>
      <w:r>
        <w:t>4</w:t>
      </w:r>
      <w:r w:rsidRPr="005176F3">
        <w:t>.</w:t>
      </w:r>
    </w:p>
    <w:p w14:paraId="3B492E07" w14:textId="3AD5FF39" w:rsidR="00E33416" w:rsidRPr="005176F3" w:rsidRDefault="00E33416" w:rsidP="00E33416">
      <w:pPr>
        <w:pStyle w:val="Bulletpoints"/>
        <w:numPr>
          <w:ilvl w:val="1"/>
          <w:numId w:val="42"/>
        </w:numPr>
      </w:pPr>
      <w:r w:rsidRPr="005176F3">
        <w:t>The estimate of the number of dwellings that will be eligible for a 25% discount in 202</w:t>
      </w:r>
      <w:r w:rsidR="005837A9">
        <w:t>5</w:t>
      </w:r>
      <w:r w:rsidR="0098120C" w:rsidRPr="005176F3">
        <w:t>/2</w:t>
      </w:r>
      <w:r w:rsidR="005837A9">
        <w:t>6</w:t>
      </w:r>
      <w:r w:rsidRPr="005176F3">
        <w:t xml:space="preserve"> (recently built or uninhabitable dwellings) is </w:t>
      </w:r>
      <w:r w:rsidR="005837A9">
        <w:t>38</w:t>
      </w:r>
      <w:r w:rsidRPr="005176F3">
        <w:t xml:space="preserve">. This figure is shown in line </w:t>
      </w:r>
      <w:r w:rsidR="005837A9">
        <w:t>9</w:t>
      </w:r>
      <w:r w:rsidRPr="005176F3">
        <w:t xml:space="preserve"> of Appendix 1 and is based on data as </w:t>
      </w:r>
      <w:proofErr w:type="gramStart"/>
      <w:r w:rsidRPr="005176F3">
        <w:t>at</w:t>
      </w:r>
      <w:proofErr w:type="gramEnd"/>
      <w:r w:rsidRPr="005176F3">
        <w:t xml:space="preserve"> 30 November 20</w:t>
      </w:r>
      <w:r w:rsidR="00353F45" w:rsidRPr="005176F3">
        <w:t>2</w:t>
      </w:r>
      <w:r w:rsidR="005837A9">
        <w:t>4</w:t>
      </w:r>
      <w:r w:rsidRPr="005176F3">
        <w:t>.</w:t>
      </w:r>
    </w:p>
    <w:p w14:paraId="75B2EFC7" w14:textId="66226B8B" w:rsidR="00E33416" w:rsidRPr="005176F3" w:rsidRDefault="00E33416" w:rsidP="00E33416">
      <w:pPr>
        <w:pStyle w:val="Bulletpoints"/>
      </w:pPr>
      <w:r w:rsidRPr="005176F3">
        <w:rPr>
          <w:b/>
          <w:bCs/>
        </w:rPr>
        <w:t>Disability Reductions:</w:t>
      </w:r>
      <w:r w:rsidRPr="005176F3">
        <w:t xml:space="preserve"> Where there is a disabled occupant, and adaptations have been undertaken for their benefit, the dwelling is treated as being in the band below the one in which it was </w:t>
      </w:r>
      <w:proofErr w:type="gramStart"/>
      <w:r w:rsidRPr="005176F3">
        <w:t>actually valued</w:t>
      </w:r>
      <w:proofErr w:type="gramEnd"/>
      <w:r w:rsidR="00682E3E" w:rsidRPr="005176F3">
        <w:t xml:space="preserve"> (lines 4 and 5 of Appendix 1)</w:t>
      </w:r>
      <w:r w:rsidR="008121B9" w:rsidRPr="005176F3">
        <w:t>.</w:t>
      </w:r>
    </w:p>
    <w:p w14:paraId="6CA5966F" w14:textId="481BE902" w:rsidR="00E33416" w:rsidRPr="005176F3" w:rsidRDefault="00E33416" w:rsidP="00687B34">
      <w:pPr>
        <w:pStyle w:val="Bulletpoints"/>
      </w:pPr>
      <w:r w:rsidRPr="005176F3">
        <w:rPr>
          <w:b/>
        </w:rPr>
        <w:t xml:space="preserve">Council Tax </w:t>
      </w:r>
      <w:r w:rsidR="00BB27A6" w:rsidRPr="005176F3">
        <w:rPr>
          <w:b/>
        </w:rPr>
        <w:t>Reduction</w:t>
      </w:r>
      <w:r w:rsidRPr="005176F3">
        <w:rPr>
          <w:b/>
        </w:rPr>
        <w:t xml:space="preserve"> Scheme:</w:t>
      </w:r>
      <w:r w:rsidRPr="005176F3">
        <w:t xml:space="preserve"> The estimate of the total number of dwellings that will be eligible for discounts under the </w:t>
      </w:r>
      <w:r w:rsidR="00112188">
        <w:t xml:space="preserve">existing </w:t>
      </w:r>
      <w:r w:rsidRPr="005176F3">
        <w:t xml:space="preserve">Council Tax </w:t>
      </w:r>
      <w:r w:rsidR="00BB27A6" w:rsidRPr="005176F3">
        <w:t>Reduction</w:t>
      </w:r>
      <w:r w:rsidRPr="005176F3">
        <w:t xml:space="preserve"> Scheme in 202</w:t>
      </w:r>
      <w:r w:rsidR="005837A9">
        <w:t>5</w:t>
      </w:r>
      <w:r w:rsidR="00353F45" w:rsidRPr="005176F3">
        <w:t>/2</w:t>
      </w:r>
      <w:r w:rsidR="005837A9">
        <w:t>6</w:t>
      </w:r>
      <w:r w:rsidRPr="005176F3">
        <w:t xml:space="preserve"> is </w:t>
      </w:r>
      <w:r w:rsidR="000807FF" w:rsidRPr="005176F3">
        <w:t>6</w:t>
      </w:r>
      <w:r w:rsidRPr="005176F3">
        <w:t>,</w:t>
      </w:r>
      <w:r w:rsidR="005837A9">
        <w:t>754</w:t>
      </w:r>
      <w:r w:rsidR="00E137CF" w:rsidRPr="005176F3">
        <w:t>.</w:t>
      </w:r>
      <w:r w:rsidR="005837A9">
        <w:t>2</w:t>
      </w:r>
      <w:r w:rsidRPr="005176F3">
        <w:t xml:space="preserve"> compared to </w:t>
      </w:r>
      <w:r w:rsidR="008121B9" w:rsidRPr="005176F3">
        <w:t>6,6</w:t>
      </w:r>
      <w:r w:rsidR="005837A9">
        <w:t>17</w:t>
      </w:r>
      <w:r w:rsidR="008121B9" w:rsidRPr="005176F3">
        <w:t>.</w:t>
      </w:r>
      <w:r w:rsidR="005837A9">
        <w:t>0</w:t>
      </w:r>
      <w:r w:rsidR="003B790B" w:rsidRPr="005176F3">
        <w:t xml:space="preserve"> </w:t>
      </w:r>
      <w:r w:rsidR="00687B34" w:rsidRPr="005176F3">
        <w:t xml:space="preserve">dwellings </w:t>
      </w:r>
      <w:r w:rsidR="003B790B" w:rsidRPr="005176F3">
        <w:t xml:space="preserve">which </w:t>
      </w:r>
      <w:r w:rsidR="00687B34" w:rsidRPr="005176F3">
        <w:t xml:space="preserve">was used for the </w:t>
      </w:r>
      <w:r w:rsidR="003B790B" w:rsidRPr="005176F3">
        <w:t xml:space="preserve">tax base </w:t>
      </w:r>
      <w:r w:rsidR="00687B34" w:rsidRPr="005176F3">
        <w:t>for</w:t>
      </w:r>
      <w:r w:rsidRPr="005176F3">
        <w:t xml:space="preserve"> 20</w:t>
      </w:r>
      <w:r w:rsidR="00353F45" w:rsidRPr="005176F3">
        <w:t>2</w:t>
      </w:r>
      <w:r w:rsidR="005837A9">
        <w:t>4</w:t>
      </w:r>
      <w:r w:rsidR="00E137CF" w:rsidRPr="005176F3">
        <w:t>/2</w:t>
      </w:r>
      <w:r w:rsidR="005837A9">
        <w:t>5</w:t>
      </w:r>
      <w:r w:rsidRPr="005176F3">
        <w:t>. The breakdown per band is detailed in line 1</w:t>
      </w:r>
      <w:r w:rsidR="005837A9">
        <w:t>5</w:t>
      </w:r>
      <w:r w:rsidRPr="005176F3">
        <w:t xml:space="preserve"> of Appendix 1. Please also see </w:t>
      </w:r>
      <w:r w:rsidR="00E52920" w:rsidRPr="005176F3">
        <w:t xml:space="preserve">the Risk Register (Appendix </w:t>
      </w:r>
      <w:r w:rsidR="00117FD4" w:rsidRPr="005176F3">
        <w:t>4</w:t>
      </w:r>
      <w:r w:rsidR="00E52920" w:rsidRPr="005176F3">
        <w:t>).</w:t>
      </w:r>
    </w:p>
    <w:p w14:paraId="114E37BF" w14:textId="187EEF2A" w:rsidR="005E7332" w:rsidRPr="00975B8B" w:rsidRDefault="00837DEC" w:rsidP="005E7332">
      <w:pPr>
        <w:pStyle w:val="Bulletpoints"/>
      </w:pPr>
      <w:r w:rsidRPr="00975B8B">
        <w:rPr>
          <w:b/>
        </w:rPr>
        <w:t>Second Home Premium</w:t>
      </w:r>
      <w:r w:rsidR="00F41BDE" w:rsidRPr="00975B8B">
        <w:rPr>
          <w:b/>
        </w:rPr>
        <w:t xml:space="preserve">: </w:t>
      </w:r>
      <w:r w:rsidR="00F41BDE" w:rsidRPr="00975B8B">
        <w:t xml:space="preserve">In February 2023 the Council approved the Second Home Premium charge, which </w:t>
      </w:r>
      <w:r w:rsidR="00D24AC7" w:rsidRPr="00975B8B">
        <w:t>was due to</w:t>
      </w:r>
      <w:r w:rsidR="00F41BDE" w:rsidRPr="00975B8B">
        <w:t xml:space="preserve"> come into effect from 1 April 2024. </w:t>
      </w:r>
      <w:r w:rsidR="00D24AC7" w:rsidRPr="00975B8B">
        <w:t>Before this charge c</w:t>
      </w:r>
      <w:r w:rsidR="00B31192" w:rsidRPr="00975B8B">
        <w:t>ould</w:t>
      </w:r>
      <w:r w:rsidR="00D24AC7" w:rsidRPr="00975B8B">
        <w:t xml:space="preserve"> be applied to Council Tax charge recipients, Oxford City Council </w:t>
      </w:r>
      <w:r w:rsidR="00B31192" w:rsidRPr="00975B8B">
        <w:t>we</w:t>
      </w:r>
      <w:r w:rsidR="00D24AC7" w:rsidRPr="00975B8B">
        <w:t xml:space="preserve">re required provide 12 months’ notice of the intended change. This </w:t>
      </w:r>
      <w:r w:rsidR="00B31192" w:rsidRPr="00975B8B">
        <w:t>notice was served</w:t>
      </w:r>
      <w:r w:rsidR="00D24AC7" w:rsidRPr="00975B8B">
        <w:t xml:space="preserve"> during February 2023</w:t>
      </w:r>
      <w:r w:rsidR="00112188">
        <w:t xml:space="preserve"> with the intention that the charge would be introduced on 1 April 2024</w:t>
      </w:r>
      <w:r w:rsidR="00D24AC7" w:rsidRPr="00975B8B">
        <w:t xml:space="preserve">. </w:t>
      </w:r>
    </w:p>
    <w:p w14:paraId="79C5846D" w14:textId="68C78ED6" w:rsidR="005E7332" w:rsidRPr="00975B8B" w:rsidRDefault="00D24AC7" w:rsidP="005E7332">
      <w:pPr>
        <w:pStyle w:val="Bulletpoints"/>
        <w:numPr>
          <w:ilvl w:val="0"/>
          <w:numId w:val="0"/>
        </w:numPr>
        <w:ind w:left="1080"/>
      </w:pPr>
      <w:r w:rsidRPr="00975B8B">
        <w:t>However, Council</w:t>
      </w:r>
      <w:r w:rsidR="00871A47" w:rsidRPr="00975B8B">
        <w:t xml:space="preserve"> </w:t>
      </w:r>
      <w:r w:rsidR="00B31192" w:rsidRPr="00975B8B">
        <w:t xml:space="preserve">officers </w:t>
      </w:r>
      <w:r w:rsidR="00871A47" w:rsidRPr="00975B8B">
        <w:t xml:space="preserve">were informed </w:t>
      </w:r>
      <w:r w:rsidR="00112188">
        <w:t xml:space="preserve">by Government </w:t>
      </w:r>
      <w:r w:rsidR="00871A47" w:rsidRPr="00975B8B">
        <w:t xml:space="preserve">in late December 2023 that </w:t>
      </w:r>
      <w:r w:rsidRPr="00975B8B">
        <w:t xml:space="preserve">the </w:t>
      </w:r>
      <w:r w:rsidR="00B31192" w:rsidRPr="00975B8B">
        <w:t>1</w:t>
      </w:r>
      <w:r w:rsidRPr="00975B8B">
        <w:t xml:space="preserve">2 months’ notice to </w:t>
      </w:r>
      <w:r w:rsidR="00871A47" w:rsidRPr="00975B8B">
        <w:t xml:space="preserve">the </w:t>
      </w:r>
      <w:r w:rsidR="00B31192" w:rsidRPr="00975B8B">
        <w:t>a</w:t>
      </w:r>
      <w:r w:rsidRPr="00975B8B">
        <w:t>ffect</w:t>
      </w:r>
      <w:r w:rsidR="00871A47" w:rsidRPr="00975B8B">
        <w:t>ed</w:t>
      </w:r>
      <w:r w:rsidRPr="00975B8B">
        <w:t xml:space="preserve"> Council Tax charge recipients </w:t>
      </w:r>
      <w:r w:rsidR="005E7332" w:rsidRPr="00975B8B">
        <w:t xml:space="preserve">needed to be sent </w:t>
      </w:r>
      <w:r w:rsidR="00B31192" w:rsidRPr="00975B8B">
        <w:t xml:space="preserve">after the </w:t>
      </w:r>
      <w:r w:rsidRPr="00975B8B">
        <w:t>legislation receive</w:t>
      </w:r>
      <w:r w:rsidR="005E7332" w:rsidRPr="00975B8B">
        <w:t>d</w:t>
      </w:r>
      <w:r w:rsidRPr="00975B8B">
        <w:t xml:space="preserve"> Royal Assent. </w:t>
      </w:r>
    </w:p>
    <w:p w14:paraId="3B4A6B8E" w14:textId="77777777" w:rsidR="005E7332" w:rsidRPr="00975B8B" w:rsidRDefault="005E7332" w:rsidP="005E7332">
      <w:pPr>
        <w:pStyle w:val="Bulletpoints"/>
        <w:numPr>
          <w:ilvl w:val="0"/>
          <w:numId w:val="0"/>
        </w:numPr>
        <w:ind w:left="1080"/>
      </w:pPr>
      <w:r w:rsidRPr="00975B8B">
        <w:t xml:space="preserve">Royal Assent of the legislation </w:t>
      </w:r>
      <w:r w:rsidR="00B31192" w:rsidRPr="00975B8B">
        <w:t>occur</w:t>
      </w:r>
      <w:r w:rsidRPr="00975B8B">
        <w:t>red</w:t>
      </w:r>
      <w:r w:rsidR="00B31192" w:rsidRPr="00975B8B">
        <w:t xml:space="preserve"> </w:t>
      </w:r>
      <w:r w:rsidRPr="00975B8B">
        <w:t>in</w:t>
      </w:r>
      <w:r w:rsidR="00B31192" w:rsidRPr="00975B8B">
        <w:t xml:space="preserve"> October 2023,</w:t>
      </w:r>
      <w:r w:rsidRPr="00975B8B">
        <w:t xml:space="preserve"> with another letter being issued to affected Council Tax charge recipients in February 2024. Now that the required notice has been issued, O</w:t>
      </w:r>
      <w:r w:rsidR="00B31192" w:rsidRPr="00975B8B">
        <w:t xml:space="preserve">xford City Council </w:t>
      </w:r>
      <w:r w:rsidRPr="00975B8B">
        <w:t xml:space="preserve">intends to </w:t>
      </w:r>
      <w:r w:rsidR="00B31192" w:rsidRPr="00975B8B">
        <w:t xml:space="preserve">introduce this charge </w:t>
      </w:r>
      <w:r w:rsidRPr="00975B8B">
        <w:t xml:space="preserve">from </w:t>
      </w:r>
      <w:r w:rsidR="00B31192" w:rsidRPr="00975B8B">
        <w:t>1 April 2025.</w:t>
      </w:r>
      <w:r w:rsidR="00871A47" w:rsidRPr="00975B8B">
        <w:t xml:space="preserve"> </w:t>
      </w:r>
    </w:p>
    <w:p w14:paraId="636677B2" w14:textId="5BB04B0E" w:rsidR="00993B5D" w:rsidRPr="00975B8B" w:rsidRDefault="00F41BDE" w:rsidP="005E7332">
      <w:pPr>
        <w:pStyle w:val="Bulletpoints"/>
        <w:numPr>
          <w:ilvl w:val="0"/>
          <w:numId w:val="0"/>
        </w:numPr>
        <w:ind w:left="1080"/>
        <w:rPr>
          <w:color w:val="auto"/>
        </w:rPr>
      </w:pPr>
      <w:r w:rsidRPr="00975B8B">
        <w:t xml:space="preserve">This premium </w:t>
      </w:r>
      <w:r w:rsidR="005E7332" w:rsidRPr="00975B8B">
        <w:t>will</w:t>
      </w:r>
      <w:r w:rsidRPr="00975B8B">
        <w:t xml:space="preserve"> charge a 100% premium </w:t>
      </w:r>
      <w:r w:rsidR="005E7332" w:rsidRPr="00975B8B">
        <w:t>to</w:t>
      </w:r>
      <w:r w:rsidRPr="00975B8B">
        <w:t xml:space="preserve"> those dwellings that have been identified as second hom</w:t>
      </w:r>
      <w:r w:rsidRPr="00975B8B">
        <w:rPr>
          <w:color w:val="auto"/>
        </w:rPr>
        <w:t>es.</w:t>
      </w:r>
      <w:r w:rsidR="00993B5D" w:rsidRPr="00975B8B">
        <w:rPr>
          <w:color w:val="auto"/>
        </w:rPr>
        <w:t xml:space="preserve"> The result of this will be that </w:t>
      </w:r>
      <w:r w:rsidR="00112188">
        <w:rPr>
          <w:color w:val="auto"/>
        </w:rPr>
        <w:t xml:space="preserve">an estimated </w:t>
      </w:r>
      <w:r w:rsidR="009E145B">
        <w:rPr>
          <w:color w:val="auto"/>
        </w:rPr>
        <w:t>668</w:t>
      </w:r>
      <w:r w:rsidR="00112188">
        <w:rPr>
          <w:color w:val="auto"/>
        </w:rPr>
        <w:t xml:space="preserve"> </w:t>
      </w:r>
      <w:r w:rsidR="00993B5D" w:rsidRPr="00975B8B">
        <w:rPr>
          <w:color w:val="auto"/>
        </w:rPr>
        <w:t>dwellings will pay a total 200%</w:t>
      </w:r>
      <w:r w:rsidR="00EB791C" w:rsidRPr="00975B8B">
        <w:rPr>
          <w:color w:val="auto"/>
        </w:rPr>
        <w:t xml:space="preserve"> council tax charge</w:t>
      </w:r>
      <w:r w:rsidR="00993B5D" w:rsidRPr="00975B8B">
        <w:rPr>
          <w:color w:val="auto"/>
        </w:rPr>
        <w:t>.</w:t>
      </w:r>
      <w:r w:rsidRPr="00975B8B">
        <w:rPr>
          <w:color w:val="auto"/>
        </w:rPr>
        <w:t xml:space="preserve"> </w:t>
      </w:r>
    </w:p>
    <w:p w14:paraId="32BF22D4" w14:textId="5927B563" w:rsidR="00837DEC" w:rsidRPr="00EB791C" w:rsidRDefault="00E2622C" w:rsidP="005E7332">
      <w:pPr>
        <w:pStyle w:val="Bulletpoints"/>
        <w:numPr>
          <w:ilvl w:val="0"/>
          <w:numId w:val="0"/>
        </w:numPr>
        <w:ind w:left="1080"/>
        <w:rPr>
          <w:color w:val="auto"/>
        </w:rPr>
      </w:pPr>
      <w:r w:rsidRPr="00975B8B">
        <w:rPr>
          <w:color w:val="auto"/>
        </w:rPr>
        <w:t>Second homes are defined as a furnished property where the owner has a main home elsewhere.</w:t>
      </w:r>
      <w:r w:rsidRPr="00EB791C">
        <w:rPr>
          <w:color w:val="auto"/>
        </w:rPr>
        <w:t xml:space="preserve"> </w:t>
      </w:r>
    </w:p>
    <w:p w14:paraId="1546CADD" w14:textId="77777777" w:rsidR="00221DC9" w:rsidRPr="005176F3" w:rsidRDefault="00221DC9">
      <w:pPr>
        <w:spacing w:after="0"/>
        <w:rPr>
          <w:b/>
        </w:rPr>
      </w:pPr>
      <w:r w:rsidRPr="005176F3">
        <w:rPr>
          <w:b/>
        </w:rPr>
        <w:br w:type="page"/>
      </w:r>
    </w:p>
    <w:p w14:paraId="4FD8619D" w14:textId="77777777" w:rsidR="005E7332" w:rsidRDefault="00E33416" w:rsidP="005E7332">
      <w:pPr>
        <w:pStyle w:val="Bulletpoints"/>
      </w:pPr>
      <w:r w:rsidRPr="005E7332">
        <w:rPr>
          <w:b/>
        </w:rPr>
        <w:lastRenderedPageBreak/>
        <w:t>Long Term Empty Premium:</w:t>
      </w:r>
      <w:r w:rsidRPr="005837A9">
        <w:t xml:space="preserve"> </w:t>
      </w:r>
      <w:r w:rsidR="00837DEC" w:rsidRPr="005837A9">
        <w:t>In</w:t>
      </w:r>
      <w:r w:rsidRPr="005837A9">
        <w:t xml:space="preserve"> February 2019</w:t>
      </w:r>
      <w:r w:rsidR="00501391" w:rsidRPr="005837A9">
        <w:t xml:space="preserve"> the Council approved a</w:t>
      </w:r>
      <w:r w:rsidRPr="005837A9">
        <w:t xml:space="preserve"> </w:t>
      </w:r>
      <w:proofErr w:type="gramStart"/>
      <w:r w:rsidRPr="005837A9">
        <w:t>Long Term</w:t>
      </w:r>
      <w:proofErr w:type="gramEnd"/>
      <w:r w:rsidRPr="005837A9">
        <w:t xml:space="preserve"> Empty Property Premium</w:t>
      </w:r>
      <w:r w:rsidR="00501391" w:rsidRPr="005837A9">
        <w:t xml:space="preserve"> </w:t>
      </w:r>
      <w:r w:rsidR="00837DEC" w:rsidRPr="005837A9">
        <w:t>which came into force from</w:t>
      </w:r>
      <w:r w:rsidR="00501391" w:rsidRPr="005837A9">
        <w:t xml:space="preserve"> 1 April 2019</w:t>
      </w:r>
      <w:r w:rsidR="00837DEC" w:rsidRPr="005837A9">
        <w:t xml:space="preserve">. This premium would </w:t>
      </w:r>
      <w:r w:rsidRPr="005837A9">
        <w:t>charg</w:t>
      </w:r>
      <w:r w:rsidR="00837DEC" w:rsidRPr="005837A9">
        <w:t>e</w:t>
      </w:r>
      <w:r w:rsidR="00501391" w:rsidRPr="005837A9">
        <w:t xml:space="preserve"> </w:t>
      </w:r>
      <w:r w:rsidRPr="005837A9">
        <w:t xml:space="preserve">a 100% premium on those dwellings that have been empty for 2 years and over. </w:t>
      </w:r>
      <w:r w:rsidR="00501391" w:rsidRPr="005837A9">
        <w:t>At the same time</w:t>
      </w:r>
      <w:r w:rsidR="00837DEC" w:rsidRPr="005837A9">
        <w:t>, Council</w:t>
      </w:r>
      <w:r w:rsidR="00501391" w:rsidRPr="005837A9">
        <w:t xml:space="preserve"> </w:t>
      </w:r>
      <w:r w:rsidR="00837DEC" w:rsidRPr="005837A9">
        <w:t>a</w:t>
      </w:r>
      <w:r w:rsidR="00501391" w:rsidRPr="005837A9">
        <w:t>lso approved a</w:t>
      </w:r>
      <w:r w:rsidRPr="005837A9">
        <w:t xml:space="preserve"> 200% premium</w:t>
      </w:r>
      <w:r w:rsidR="00501391" w:rsidRPr="005837A9">
        <w:t xml:space="preserve"> on dwellings that have been empty</w:t>
      </w:r>
      <w:r w:rsidRPr="005837A9">
        <w:t xml:space="preserve"> for 5 years and over</w:t>
      </w:r>
      <w:r w:rsidR="00501391" w:rsidRPr="005837A9">
        <w:t xml:space="preserve"> with effect from </w:t>
      </w:r>
      <w:r w:rsidR="00E137CF" w:rsidRPr="005837A9">
        <w:t>1 April 2020,</w:t>
      </w:r>
      <w:r w:rsidR="00501391" w:rsidRPr="005837A9">
        <w:t xml:space="preserve"> and </w:t>
      </w:r>
      <w:r w:rsidRPr="005837A9">
        <w:t>a 300% premium</w:t>
      </w:r>
      <w:r w:rsidR="00E137CF" w:rsidRPr="005837A9">
        <w:t xml:space="preserve"> </w:t>
      </w:r>
      <w:r w:rsidRPr="005837A9">
        <w:t>on dwellings</w:t>
      </w:r>
      <w:r w:rsidR="00501391" w:rsidRPr="005837A9">
        <w:t xml:space="preserve"> that have been </w:t>
      </w:r>
      <w:r w:rsidRPr="005837A9">
        <w:t>empty for 10 years and over</w:t>
      </w:r>
      <w:r w:rsidR="00837DEC" w:rsidRPr="005837A9">
        <w:t xml:space="preserve"> from 1 April 2021</w:t>
      </w:r>
      <w:r w:rsidRPr="005837A9">
        <w:t xml:space="preserve">. </w:t>
      </w:r>
      <w:r w:rsidR="00B31192" w:rsidRPr="005837A9">
        <w:t>In February 2023 t</w:t>
      </w:r>
      <w:r w:rsidR="00F41BDE" w:rsidRPr="005837A9">
        <w:t xml:space="preserve">he Council approved an extension to this scheme whereby the 100% premium charge </w:t>
      </w:r>
      <w:r w:rsidR="00B31192" w:rsidRPr="005837A9">
        <w:t>would</w:t>
      </w:r>
      <w:r w:rsidR="00F41BDE" w:rsidRPr="005837A9">
        <w:t xml:space="preserve"> apply to dwellings that have been empty for more than 1 year</w:t>
      </w:r>
      <w:r w:rsidR="005837A9" w:rsidRPr="005837A9">
        <w:t xml:space="preserve"> and this ca</w:t>
      </w:r>
      <w:r w:rsidR="00F41BDE" w:rsidRPr="005837A9">
        <w:t>me into effect from 1 April 202</w:t>
      </w:r>
      <w:r w:rsidR="00221DC9" w:rsidRPr="005837A9">
        <w:t>4</w:t>
      </w:r>
      <w:r w:rsidR="005837A9" w:rsidRPr="005837A9">
        <w:t>.</w:t>
      </w:r>
    </w:p>
    <w:p w14:paraId="106ECFD8" w14:textId="49F8FEEE" w:rsidR="00EB791C" w:rsidRDefault="00EB791C" w:rsidP="005E7332">
      <w:pPr>
        <w:pStyle w:val="Bulletpoints"/>
        <w:numPr>
          <w:ilvl w:val="0"/>
          <w:numId w:val="0"/>
        </w:numPr>
        <w:ind w:left="1080"/>
      </w:pPr>
      <w:r>
        <w:t>The premium applicable compared to the total council tax charge payable is detailed below:</w:t>
      </w:r>
    </w:p>
    <w:tbl>
      <w:tblPr>
        <w:tblStyle w:val="TableGrid"/>
        <w:tblW w:w="0" w:type="auto"/>
        <w:jc w:val="center"/>
        <w:tblLook w:val="04A0" w:firstRow="1" w:lastRow="0" w:firstColumn="1" w:lastColumn="0" w:noHBand="0" w:noVBand="1"/>
      </w:tblPr>
      <w:tblGrid>
        <w:gridCol w:w="3593"/>
        <w:gridCol w:w="1505"/>
        <w:gridCol w:w="1701"/>
      </w:tblGrid>
      <w:tr w:rsidR="00BB3A1A" w14:paraId="22BFFDFD" w14:textId="77777777" w:rsidTr="009E145B">
        <w:trPr>
          <w:jc w:val="center"/>
        </w:trPr>
        <w:tc>
          <w:tcPr>
            <w:tcW w:w="3593" w:type="dxa"/>
          </w:tcPr>
          <w:p w14:paraId="2EB3808A" w14:textId="72F36752" w:rsidR="00EB791C" w:rsidRPr="00BB3A1A" w:rsidRDefault="00BB3A1A" w:rsidP="005E7332">
            <w:pPr>
              <w:pStyle w:val="Bulletpoints"/>
              <w:numPr>
                <w:ilvl w:val="0"/>
                <w:numId w:val="0"/>
              </w:numPr>
              <w:rPr>
                <w:b/>
                <w:bCs/>
              </w:rPr>
            </w:pPr>
            <w:r w:rsidRPr="00BB3A1A">
              <w:rPr>
                <w:b/>
                <w:bCs/>
              </w:rPr>
              <w:t>Empty period</w:t>
            </w:r>
          </w:p>
        </w:tc>
        <w:tc>
          <w:tcPr>
            <w:tcW w:w="1505" w:type="dxa"/>
          </w:tcPr>
          <w:p w14:paraId="37570580" w14:textId="6CED0280" w:rsidR="00EB791C" w:rsidRPr="00BB3A1A" w:rsidRDefault="00EB791C" w:rsidP="005E7332">
            <w:pPr>
              <w:pStyle w:val="Bulletpoints"/>
              <w:numPr>
                <w:ilvl w:val="0"/>
                <w:numId w:val="0"/>
              </w:numPr>
              <w:rPr>
                <w:b/>
                <w:bCs/>
              </w:rPr>
            </w:pPr>
            <w:r w:rsidRPr="00BB3A1A">
              <w:rPr>
                <w:b/>
                <w:bCs/>
              </w:rPr>
              <w:t>Premium</w:t>
            </w:r>
          </w:p>
        </w:tc>
        <w:tc>
          <w:tcPr>
            <w:tcW w:w="1701" w:type="dxa"/>
          </w:tcPr>
          <w:p w14:paraId="207AD166" w14:textId="435C8D64" w:rsidR="00EB791C" w:rsidRPr="00BB3A1A" w:rsidRDefault="00112188" w:rsidP="005E7332">
            <w:pPr>
              <w:pStyle w:val="Bulletpoints"/>
              <w:numPr>
                <w:ilvl w:val="0"/>
                <w:numId w:val="0"/>
              </w:numPr>
              <w:rPr>
                <w:b/>
                <w:bCs/>
              </w:rPr>
            </w:pPr>
            <w:r>
              <w:rPr>
                <w:b/>
                <w:bCs/>
              </w:rPr>
              <w:t xml:space="preserve">Council Tax </w:t>
            </w:r>
            <w:r w:rsidR="00EB791C" w:rsidRPr="00BB3A1A">
              <w:rPr>
                <w:b/>
                <w:bCs/>
              </w:rPr>
              <w:t>Charge</w:t>
            </w:r>
          </w:p>
        </w:tc>
      </w:tr>
      <w:tr w:rsidR="00BB3A1A" w14:paraId="7C7D5A76" w14:textId="77777777" w:rsidTr="009E145B">
        <w:trPr>
          <w:jc w:val="center"/>
        </w:trPr>
        <w:tc>
          <w:tcPr>
            <w:tcW w:w="3593" w:type="dxa"/>
          </w:tcPr>
          <w:p w14:paraId="3A7F94C6" w14:textId="6506ADCF" w:rsidR="00EB791C" w:rsidRDefault="00BB3A1A" w:rsidP="005E7332">
            <w:pPr>
              <w:pStyle w:val="Bulletpoints"/>
              <w:numPr>
                <w:ilvl w:val="0"/>
                <w:numId w:val="0"/>
              </w:numPr>
            </w:pPr>
            <w:r>
              <w:t>Between 1yr and 5yrs</w:t>
            </w:r>
          </w:p>
        </w:tc>
        <w:tc>
          <w:tcPr>
            <w:tcW w:w="1505" w:type="dxa"/>
          </w:tcPr>
          <w:p w14:paraId="4B7B3CCE" w14:textId="4D52A4A0" w:rsidR="00EB791C" w:rsidRDefault="00BB3A1A" w:rsidP="00446013">
            <w:pPr>
              <w:pStyle w:val="Bulletpoints"/>
              <w:numPr>
                <w:ilvl w:val="0"/>
                <w:numId w:val="0"/>
              </w:numPr>
              <w:jc w:val="right"/>
            </w:pPr>
            <w:r>
              <w:t>100%</w:t>
            </w:r>
          </w:p>
        </w:tc>
        <w:tc>
          <w:tcPr>
            <w:tcW w:w="1701" w:type="dxa"/>
          </w:tcPr>
          <w:p w14:paraId="51D8929C" w14:textId="63A04CB6" w:rsidR="00EB791C" w:rsidRDefault="00BB3A1A" w:rsidP="00446013">
            <w:pPr>
              <w:pStyle w:val="Bulletpoints"/>
              <w:numPr>
                <w:ilvl w:val="0"/>
                <w:numId w:val="0"/>
              </w:numPr>
              <w:jc w:val="right"/>
            </w:pPr>
            <w:r>
              <w:t>200%</w:t>
            </w:r>
          </w:p>
        </w:tc>
      </w:tr>
      <w:tr w:rsidR="00BB3A1A" w14:paraId="4769BB99" w14:textId="77777777" w:rsidTr="009E145B">
        <w:trPr>
          <w:jc w:val="center"/>
        </w:trPr>
        <w:tc>
          <w:tcPr>
            <w:tcW w:w="3593" w:type="dxa"/>
          </w:tcPr>
          <w:p w14:paraId="7004615E" w14:textId="4CE4D4E0" w:rsidR="00EB791C" w:rsidRDefault="00BB3A1A" w:rsidP="005E7332">
            <w:pPr>
              <w:pStyle w:val="Bulletpoints"/>
              <w:numPr>
                <w:ilvl w:val="0"/>
                <w:numId w:val="0"/>
              </w:numPr>
            </w:pPr>
            <w:r>
              <w:t>Between 5yrs and 10yrs</w:t>
            </w:r>
          </w:p>
        </w:tc>
        <w:tc>
          <w:tcPr>
            <w:tcW w:w="1505" w:type="dxa"/>
          </w:tcPr>
          <w:p w14:paraId="731840C4" w14:textId="09F94882" w:rsidR="00EB791C" w:rsidRDefault="00BB3A1A" w:rsidP="00446013">
            <w:pPr>
              <w:pStyle w:val="Bulletpoints"/>
              <w:numPr>
                <w:ilvl w:val="0"/>
                <w:numId w:val="0"/>
              </w:numPr>
              <w:jc w:val="right"/>
            </w:pPr>
            <w:r>
              <w:t>200%</w:t>
            </w:r>
          </w:p>
        </w:tc>
        <w:tc>
          <w:tcPr>
            <w:tcW w:w="1701" w:type="dxa"/>
          </w:tcPr>
          <w:p w14:paraId="04799585" w14:textId="0B8DA083" w:rsidR="00EB791C" w:rsidRDefault="00BB3A1A" w:rsidP="00446013">
            <w:pPr>
              <w:pStyle w:val="Bulletpoints"/>
              <w:numPr>
                <w:ilvl w:val="0"/>
                <w:numId w:val="0"/>
              </w:numPr>
              <w:jc w:val="right"/>
            </w:pPr>
            <w:r>
              <w:t>300%</w:t>
            </w:r>
          </w:p>
        </w:tc>
      </w:tr>
      <w:tr w:rsidR="00BB3A1A" w14:paraId="459B4001" w14:textId="77777777" w:rsidTr="009E145B">
        <w:trPr>
          <w:jc w:val="center"/>
        </w:trPr>
        <w:tc>
          <w:tcPr>
            <w:tcW w:w="3593" w:type="dxa"/>
          </w:tcPr>
          <w:p w14:paraId="3E4EC3D5" w14:textId="354D4C24" w:rsidR="00EB791C" w:rsidRDefault="00BB3A1A" w:rsidP="005E7332">
            <w:pPr>
              <w:pStyle w:val="Bulletpoints"/>
              <w:numPr>
                <w:ilvl w:val="0"/>
                <w:numId w:val="0"/>
              </w:numPr>
            </w:pPr>
            <w:r>
              <w:t>Over 10yrs</w:t>
            </w:r>
          </w:p>
        </w:tc>
        <w:tc>
          <w:tcPr>
            <w:tcW w:w="1505" w:type="dxa"/>
          </w:tcPr>
          <w:p w14:paraId="6EBBA7C1" w14:textId="538135BA" w:rsidR="00EB791C" w:rsidRDefault="00BB3A1A" w:rsidP="00446013">
            <w:pPr>
              <w:pStyle w:val="Bulletpoints"/>
              <w:numPr>
                <w:ilvl w:val="0"/>
                <w:numId w:val="0"/>
              </w:numPr>
              <w:jc w:val="right"/>
            </w:pPr>
            <w:r>
              <w:t>300%</w:t>
            </w:r>
          </w:p>
        </w:tc>
        <w:tc>
          <w:tcPr>
            <w:tcW w:w="1701" w:type="dxa"/>
          </w:tcPr>
          <w:p w14:paraId="301F8E1A" w14:textId="02BDCB61" w:rsidR="00EB791C" w:rsidRDefault="00BB3A1A" w:rsidP="00446013">
            <w:pPr>
              <w:pStyle w:val="Bulletpoints"/>
              <w:numPr>
                <w:ilvl w:val="0"/>
                <w:numId w:val="0"/>
              </w:numPr>
              <w:jc w:val="right"/>
            </w:pPr>
            <w:r>
              <w:t>400%</w:t>
            </w:r>
          </w:p>
        </w:tc>
      </w:tr>
    </w:tbl>
    <w:p w14:paraId="523A45F7" w14:textId="77777777" w:rsidR="00EB791C" w:rsidRDefault="00EB791C" w:rsidP="005E7332">
      <w:pPr>
        <w:pStyle w:val="Bulletpoints"/>
        <w:numPr>
          <w:ilvl w:val="0"/>
          <w:numId w:val="0"/>
        </w:numPr>
        <w:ind w:left="1080"/>
      </w:pPr>
    </w:p>
    <w:p w14:paraId="256C8C0F" w14:textId="0628470C" w:rsidR="005E7332" w:rsidRPr="00975B8B" w:rsidRDefault="00E33416" w:rsidP="005E7332">
      <w:pPr>
        <w:pStyle w:val="Bulletpoints"/>
        <w:numPr>
          <w:ilvl w:val="0"/>
          <w:numId w:val="0"/>
        </w:numPr>
        <w:ind w:left="1080"/>
      </w:pPr>
      <w:r w:rsidRPr="005837A9">
        <w:t xml:space="preserve">As </w:t>
      </w:r>
      <w:proofErr w:type="gramStart"/>
      <w:r w:rsidRPr="005837A9">
        <w:t>at</w:t>
      </w:r>
      <w:proofErr w:type="gramEnd"/>
      <w:r w:rsidRPr="005837A9">
        <w:t xml:space="preserve"> 30 November 20</w:t>
      </w:r>
      <w:r w:rsidR="00353F45" w:rsidRPr="005837A9">
        <w:t>2</w:t>
      </w:r>
      <w:r w:rsidR="008121B9" w:rsidRPr="005837A9">
        <w:t>3</w:t>
      </w:r>
      <w:r w:rsidRPr="005837A9">
        <w:t xml:space="preserve"> there were </w:t>
      </w:r>
      <w:r w:rsidR="005837A9" w:rsidRPr="005837A9">
        <w:t>212</w:t>
      </w:r>
      <w:r w:rsidRPr="005837A9">
        <w:t xml:space="preserve"> dwellings that had been empty for 2 years</w:t>
      </w:r>
      <w:r w:rsidR="00117FD4" w:rsidRPr="005837A9">
        <w:t xml:space="preserve"> plus.</w:t>
      </w:r>
      <w:r w:rsidRPr="005837A9">
        <w:t xml:space="preserve"> Of that figure, </w:t>
      </w:r>
      <w:r w:rsidR="005837A9" w:rsidRPr="005837A9">
        <w:t>36</w:t>
      </w:r>
      <w:r w:rsidRPr="005837A9">
        <w:t xml:space="preserve"> had been empty for over 5 years </w:t>
      </w:r>
      <w:r w:rsidR="008121B9" w:rsidRPr="005837A9">
        <w:t>and 11</w:t>
      </w:r>
      <w:r w:rsidRPr="005837A9">
        <w:t xml:space="preserve"> that </w:t>
      </w:r>
      <w:r w:rsidRPr="00975B8B">
        <w:t xml:space="preserve">had been empty </w:t>
      </w:r>
      <w:proofErr w:type="gramStart"/>
      <w:r w:rsidRPr="00975B8B">
        <w:t>in excess of</w:t>
      </w:r>
      <w:proofErr w:type="gramEnd"/>
      <w:r w:rsidRPr="00975B8B">
        <w:t xml:space="preserve"> 10 years. </w:t>
      </w:r>
    </w:p>
    <w:p w14:paraId="426FD837" w14:textId="4E40B2EC" w:rsidR="00993B5D" w:rsidRPr="00975B8B" w:rsidRDefault="0004221C" w:rsidP="005E7332">
      <w:pPr>
        <w:pStyle w:val="Bulletpoints"/>
        <w:numPr>
          <w:ilvl w:val="0"/>
          <w:numId w:val="0"/>
        </w:numPr>
        <w:ind w:left="1080"/>
      </w:pPr>
      <w:r w:rsidRPr="00975B8B">
        <w:t xml:space="preserve">The Council continuously monitors empty dwellings in the </w:t>
      </w:r>
      <w:proofErr w:type="gramStart"/>
      <w:r w:rsidRPr="00975B8B">
        <w:t>City</w:t>
      </w:r>
      <w:proofErr w:type="gramEnd"/>
      <w:r w:rsidRPr="00975B8B">
        <w:t xml:space="preserve"> and works with owners to bring them back into use. Where an owner is unable or unwilling to bring an empty dwelling back into use, Council officers may consider serving an Empty Dwellings Management Order</w:t>
      </w:r>
      <w:r w:rsidR="00EB791C" w:rsidRPr="00975B8B">
        <w:t xml:space="preserve"> (EDMO)</w:t>
      </w:r>
      <w:r w:rsidRPr="00975B8B">
        <w:t xml:space="preserve"> under the Housing Act 2004, or </w:t>
      </w:r>
      <w:r w:rsidR="00EB791C" w:rsidRPr="00975B8B">
        <w:t>C</w:t>
      </w:r>
      <w:r w:rsidRPr="00975B8B">
        <w:t xml:space="preserve">ompulsory </w:t>
      </w:r>
      <w:r w:rsidR="00EB791C" w:rsidRPr="00975B8B">
        <w:t>P</w:t>
      </w:r>
      <w:r w:rsidRPr="00975B8B">
        <w:t>urchas</w:t>
      </w:r>
      <w:r w:rsidR="00E800C0" w:rsidRPr="00975B8B">
        <w:t>e</w:t>
      </w:r>
      <w:r w:rsidR="00EB791C" w:rsidRPr="00975B8B">
        <w:t xml:space="preserve"> Order (CPO)</w:t>
      </w:r>
      <w:r w:rsidRPr="00975B8B">
        <w:t>.</w:t>
      </w:r>
    </w:p>
    <w:p w14:paraId="68352C40" w14:textId="6F091CEF" w:rsidR="00EB791C" w:rsidRPr="00975B8B" w:rsidRDefault="00EB791C" w:rsidP="005E7332">
      <w:pPr>
        <w:pStyle w:val="Bulletpoints"/>
        <w:numPr>
          <w:ilvl w:val="0"/>
          <w:numId w:val="0"/>
        </w:numPr>
        <w:ind w:left="1080"/>
      </w:pPr>
      <w:r w:rsidRPr="00975B8B">
        <w:t>Before issuing EDMO’s and CPO’s consideration and commitment must be given to the potential costs involved. These include officer time costs, the value of the property, stamp duty, external legal support, and adverts.</w:t>
      </w:r>
    </w:p>
    <w:p w14:paraId="44C0A707" w14:textId="4ABEC884" w:rsidR="00EB791C" w:rsidRPr="00975B8B" w:rsidRDefault="00EB791C" w:rsidP="005E7332">
      <w:pPr>
        <w:pStyle w:val="Bulletpoints"/>
        <w:numPr>
          <w:ilvl w:val="0"/>
          <w:numId w:val="0"/>
        </w:numPr>
        <w:ind w:left="1080"/>
      </w:pPr>
      <w:r w:rsidRPr="00975B8B">
        <w:t xml:space="preserve">In 2023/24, a partnership </w:t>
      </w:r>
      <w:r w:rsidR="009E145B">
        <w:t>w</w:t>
      </w:r>
      <w:r w:rsidRPr="00975B8B">
        <w:t>as formed between Oxford City Council and Aspire</w:t>
      </w:r>
      <w:r w:rsidR="009E145B">
        <w:t xml:space="preserve"> Oxford, a charity in Oxford that </w:t>
      </w:r>
      <w:r w:rsidR="009E145B" w:rsidRPr="009E145B">
        <w:t>empower</w:t>
      </w:r>
      <w:r w:rsidR="009E145B">
        <w:t>s</w:t>
      </w:r>
      <w:r w:rsidR="009E145B" w:rsidRPr="009E145B">
        <w:t xml:space="preserve"> people facing homelessness, </w:t>
      </w:r>
      <w:r w:rsidR="009E145B" w:rsidRPr="009E145B">
        <w:t>poverty,</w:t>
      </w:r>
      <w:r w:rsidR="009E145B" w:rsidRPr="009E145B">
        <w:t xml:space="preserve"> and disadvantage to find employment and housing</w:t>
      </w:r>
      <w:r w:rsidR="009E145B">
        <w:t>.</w:t>
      </w:r>
      <w:r w:rsidRPr="00975B8B">
        <w:t xml:space="preserve"> </w:t>
      </w:r>
      <w:r w:rsidR="009E145B">
        <w:t xml:space="preserve">The aim of this partnership is </w:t>
      </w:r>
      <w:r w:rsidRPr="00975B8B">
        <w:t>to target properties that have been empty for over 2 years and which would be suitable for an application for an EDMO.</w:t>
      </w:r>
    </w:p>
    <w:p w14:paraId="08FEB35D" w14:textId="10993F55" w:rsidR="00EB791C" w:rsidRPr="00975B8B" w:rsidRDefault="00EB791C" w:rsidP="00EB791C">
      <w:pPr>
        <w:pStyle w:val="Bulletpoints"/>
        <w:numPr>
          <w:ilvl w:val="0"/>
          <w:numId w:val="0"/>
        </w:numPr>
        <w:ind w:left="1080"/>
      </w:pPr>
      <w:r w:rsidRPr="00975B8B">
        <w:t>The Council’s role is to facilitate the application by identifying suitable empty dwellings which do not require an excessive amount of money being spent to bring them back into use. Owners are contacted and dialogue in respect of EDMO’s is included in any discussions about their property being brought back into use.</w:t>
      </w:r>
    </w:p>
    <w:p w14:paraId="676616E3" w14:textId="4ACB5B3F" w:rsidR="00EB791C" w:rsidRPr="00975B8B" w:rsidRDefault="00EB791C" w:rsidP="00EB791C">
      <w:pPr>
        <w:pStyle w:val="Bulletpoints"/>
        <w:numPr>
          <w:ilvl w:val="0"/>
          <w:numId w:val="0"/>
        </w:numPr>
        <w:ind w:left="1080"/>
      </w:pPr>
      <w:r w:rsidRPr="00975B8B">
        <w:t>Aspire</w:t>
      </w:r>
      <w:r w:rsidR="009E145B">
        <w:t xml:space="preserve"> Oxford</w:t>
      </w:r>
      <w:r w:rsidRPr="00975B8B">
        <w:t xml:space="preserve">’s role is to create a management scheme which includes financial forecasting for any costs involved. Aspire </w:t>
      </w:r>
      <w:r w:rsidR="009E145B">
        <w:t xml:space="preserve">Oxford </w:t>
      </w:r>
      <w:r w:rsidRPr="00975B8B">
        <w:t>are also responsible for the day-to-day management of the property and tenants.</w:t>
      </w:r>
    </w:p>
    <w:p w14:paraId="278904F4" w14:textId="7BFB1A19" w:rsidR="00E33416" w:rsidRDefault="00EB791C" w:rsidP="00EB791C">
      <w:pPr>
        <w:pStyle w:val="Bulletpoints"/>
        <w:numPr>
          <w:ilvl w:val="0"/>
          <w:numId w:val="0"/>
        </w:numPr>
        <w:ind w:left="1080"/>
      </w:pPr>
      <w:r w:rsidRPr="00975B8B">
        <w:t>The list of properties identified for action through an EDMO is updated and reviewed at monthly meetings with Aspire</w:t>
      </w:r>
      <w:r w:rsidR="009E145B">
        <w:t xml:space="preserve"> Oxford</w:t>
      </w:r>
      <w:r w:rsidRPr="00975B8B">
        <w:t xml:space="preserve"> representatives and officers from Housing and Planning and Regulatory Services.</w:t>
      </w:r>
      <w:r w:rsidR="0004221C">
        <w:t xml:space="preserve"> </w:t>
      </w:r>
    </w:p>
    <w:p w14:paraId="000669FB" w14:textId="72550BB7" w:rsidR="00E33416" w:rsidRDefault="00E33416" w:rsidP="00E33416">
      <w:pPr>
        <w:pStyle w:val="Bulletpoints"/>
      </w:pPr>
      <w:r w:rsidRPr="001234BC">
        <w:rPr>
          <w:b/>
          <w:bCs/>
        </w:rPr>
        <w:t>Discretionary elements:</w:t>
      </w:r>
      <w:r>
        <w:t xml:space="preserve"> The Council has discretion in the following areas when calculating its Council Tax Base:</w:t>
      </w:r>
    </w:p>
    <w:p w14:paraId="09E161CD" w14:textId="2CE9492C" w:rsidR="00EF3518" w:rsidRDefault="00E33416" w:rsidP="00E33416">
      <w:pPr>
        <w:pStyle w:val="Bulletpoints"/>
        <w:numPr>
          <w:ilvl w:val="0"/>
          <w:numId w:val="0"/>
        </w:numPr>
        <w:ind w:left="1440"/>
      </w:pPr>
      <w:r w:rsidRPr="00535E77">
        <w:t>(</w:t>
      </w:r>
      <w:proofErr w:type="spellStart"/>
      <w:r w:rsidRPr="00535E77">
        <w:t>i</w:t>
      </w:r>
      <w:proofErr w:type="spellEnd"/>
      <w:r w:rsidRPr="00535E77">
        <w:t xml:space="preserve">) </w:t>
      </w:r>
      <w:r w:rsidRPr="002E13DD">
        <w:rPr>
          <w:b/>
        </w:rPr>
        <w:t>Number of new properties built</w:t>
      </w:r>
      <w:r>
        <w:rPr>
          <w:b/>
        </w:rPr>
        <w:t>:</w:t>
      </w:r>
      <w:r>
        <w:t xml:space="preserve"> </w:t>
      </w:r>
      <w:r w:rsidR="00117FD4">
        <w:t>Appendix 3 is the statement issued by the Valuation Office Agency showing</w:t>
      </w:r>
      <w:r w:rsidR="009E5A4B">
        <w:t xml:space="preserve"> the Council’s </w:t>
      </w:r>
      <w:r w:rsidR="00117FD4">
        <w:t>dwelling</w:t>
      </w:r>
      <w:r w:rsidR="009E5A4B">
        <w:t xml:space="preserve"> numbers</w:t>
      </w:r>
      <w:r w:rsidR="00117FD4">
        <w:t xml:space="preserve"> for each Council Tax band as</w:t>
      </w:r>
      <w:r w:rsidR="00E2622C">
        <w:t xml:space="preserve"> close to</w:t>
      </w:r>
      <w:r w:rsidR="00117FD4">
        <w:t xml:space="preserve"> </w:t>
      </w:r>
      <w:r w:rsidR="00277B03">
        <w:t xml:space="preserve">30 </w:t>
      </w:r>
      <w:r w:rsidR="00117FD4" w:rsidRPr="00277B03">
        <w:t>November 202</w:t>
      </w:r>
      <w:r w:rsidR="005837A9">
        <w:t>4</w:t>
      </w:r>
      <w:r w:rsidR="00E2622C">
        <w:t xml:space="preserve"> as possible</w:t>
      </w:r>
      <w:r w:rsidR="00117FD4">
        <w:t xml:space="preserve">. This data is shown in line 1 of Appendix 1 and is the starting point for the calculation of the Tax Base. </w:t>
      </w:r>
      <w:r w:rsidR="00E70178">
        <w:t>Our overall total of dwellings has increased from 6</w:t>
      </w:r>
      <w:r w:rsidR="0084665A">
        <w:t>3</w:t>
      </w:r>
      <w:r w:rsidR="00E40B42">
        <w:t>,</w:t>
      </w:r>
      <w:r w:rsidR="00EF3518">
        <w:t>557</w:t>
      </w:r>
      <w:r w:rsidR="00E70178">
        <w:t xml:space="preserve"> </w:t>
      </w:r>
      <w:r w:rsidR="00760800">
        <w:t xml:space="preserve">on </w:t>
      </w:r>
      <w:r w:rsidR="00277B03">
        <w:t xml:space="preserve">30 </w:t>
      </w:r>
      <w:r w:rsidR="00760800">
        <w:t>November 20</w:t>
      </w:r>
      <w:r w:rsidR="00E40B42">
        <w:t>2</w:t>
      </w:r>
      <w:r w:rsidR="00EF3518">
        <w:t>3</w:t>
      </w:r>
      <w:r w:rsidR="00760800">
        <w:t xml:space="preserve"> to 6</w:t>
      </w:r>
      <w:r w:rsidR="00277B03">
        <w:t>3</w:t>
      </w:r>
      <w:r w:rsidR="00760800">
        <w:t>,</w:t>
      </w:r>
      <w:r w:rsidR="00EF3518">
        <w:t>60</w:t>
      </w:r>
      <w:r w:rsidR="00A6099A">
        <w:t>3</w:t>
      </w:r>
      <w:r w:rsidR="00760800">
        <w:t xml:space="preserve"> one year later, an increase of </w:t>
      </w:r>
      <w:r w:rsidR="0084665A">
        <w:t>0</w:t>
      </w:r>
      <w:r w:rsidR="00E40B42">
        <w:t>.</w:t>
      </w:r>
      <w:r w:rsidR="00EF3518">
        <w:t>07</w:t>
      </w:r>
      <w:r w:rsidR="00760800">
        <w:t xml:space="preserve">%. </w:t>
      </w:r>
    </w:p>
    <w:p w14:paraId="111C7583" w14:textId="4D757C58" w:rsidR="00E33416" w:rsidRPr="00400765" w:rsidRDefault="00E33416" w:rsidP="00E33416">
      <w:pPr>
        <w:pStyle w:val="Bulletpoints"/>
        <w:numPr>
          <w:ilvl w:val="0"/>
          <w:numId w:val="0"/>
        </w:numPr>
        <w:ind w:left="1440"/>
      </w:pPr>
      <w:r w:rsidRPr="00975B8B">
        <w:t xml:space="preserve">In </w:t>
      </w:r>
      <w:r w:rsidR="00EC6EDE" w:rsidRPr="00975B8B">
        <w:t>addition</w:t>
      </w:r>
      <w:r w:rsidR="008A0F39" w:rsidRPr="00975B8B">
        <w:t xml:space="preserve"> to the report issued by the Valuation Office Agency</w:t>
      </w:r>
      <w:r w:rsidR="00EC6EDE" w:rsidRPr="00975B8B">
        <w:t>,</w:t>
      </w:r>
      <w:r w:rsidRPr="00975B8B">
        <w:t xml:space="preserve"> there </w:t>
      </w:r>
      <w:r w:rsidR="008A0F39" w:rsidRPr="00975B8B">
        <w:t xml:space="preserve">is an estimate </w:t>
      </w:r>
      <w:r w:rsidR="005E2F05" w:rsidRPr="00975B8B">
        <w:t xml:space="preserve">of </w:t>
      </w:r>
      <w:r w:rsidR="003C1B47" w:rsidRPr="00975B8B">
        <w:t>new dwelling that are due to become chargeable</w:t>
      </w:r>
      <w:r w:rsidR="008A0F39" w:rsidRPr="00975B8B">
        <w:t>.</w:t>
      </w:r>
      <w:r w:rsidRPr="00975B8B">
        <w:t xml:space="preserve"> </w:t>
      </w:r>
      <w:r w:rsidR="008A0F39" w:rsidRPr="00975B8B">
        <w:t>A</w:t>
      </w:r>
      <w:r w:rsidRPr="00975B8B">
        <w:t xml:space="preserve"> figure of </w:t>
      </w:r>
      <w:r w:rsidR="008A0F39" w:rsidRPr="00975B8B">
        <w:t>10</w:t>
      </w:r>
      <w:r w:rsidR="00A6099A">
        <w:t>0</w:t>
      </w:r>
      <w:r w:rsidRPr="00975B8B">
        <w:t xml:space="preserve"> new builds has been included for the remainder of 20</w:t>
      </w:r>
      <w:r w:rsidR="00353F45" w:rsidRPr="00975B8B">
        <w:t>2</w:t>
      </w:r>
      <w:r w:rsidR="008A0F39" w:rsidRPr="00975B8B">
        <w:t>4</w:t>
      </w:r>
      <w:r w:rsidR="00E40B42" w:rsidRPr="00975B8B">
        <w:t>/2</w:t>
      </w:r>
      <w:r w:rsidR="008A0F39" w:rsidRPr="00975B8B">
        <w:t>5</w:t>
      </w:r>
      <w:r w:rsidRPr="00975B8B">
        <w:t xml:space="preserve"> (line 1a of Appendix 1). This number is net of the fact that some of those dwellings will be exempt or liable for a discount.</w:t>
      </w:r>
      <w:r w:rsidRPr="00400765">
        <w:t xml:space="preserve"> </w:t>
      </w:r>
    </w:p>
    <w:p w14:paraId="0BD4E654" w14:textId="5D47B350" w:rsidR="00E33416" w:rsidRDefault="00E33416" w:rsidP="00E33416">
      <w:pPr>
        <w:pStyle w:val="Bulletpoints"/>
        <w:numPr>
          <w:ilvl w:val="0"/>
          <w:numId w:val="0"/>
        </w:numPr>
        <w:ind w:left="1440"/>
      </w:pPr>
      <w:r w:rsidRPr="00400765">
        <w:t>For 20</w:t>
      </w:r>
      <w:r>
        <w:t>2</w:t>
      </w:r>
      <w:r w:rsidR="00EF3518">
        <w:t>5</w:t>
      </w:r>
      <w:r w:rsidR="00E40B42">
        <w:t>/2</w:t>
      </w:r>
      <w:r w:rsidR="00EF3518">
        <w:t>6</w:t>
      </w:r>
      <w:r w:rsidRPr="00400765">
        <w:t xml:space="preserve"> an estimate of </w:t>
      </w:r>
      <w:r w:rsidR="00EF3518">
        <w:t>137</w:t>
      </w:r>
      <w:r w:rsidRPr="00400765">
        <w:t xml:space="preserve"> new dwellings has been built into the calculation</w:t>
      </w:r>
      <w:r>
        <w:t xml:space="preserve"> (</w:t>
      </w:r>
      <w:r w:rsidR="00277B03">
        <w:t>l</w:t>
      </w:r>
      <w:r>
        <w:t xml:space="preserve">ine 1b) based on </w:t>
      </w:r>
      <w:r w:rsidRPr="00687B34">
        <w:t>planning applications</w:t>
      </w:r>
      <w:r w:rsidR="00687B34">
        <w:t xml:space="preserve"> and an assessment from the Council’s Revenues Team</w:t>
      </w:r>
      <w:r>
        <w:t xml:space="preserve"> - a</w:t>
      </w:r>
      <w:r w:rsidRPr="00400765">
        <w:t xml:space="preserve"> 50% </w:t>
      </w:r>
      <w:r>
        <w:t>discount</w:t>
      </w:r>
      <w:r w:rsidRPr="00400765">
        <w:t xml:space="preserve"> has been </w:t>
      </w:r>
      <w:r>
        <w:t xml:space="preserve">assumed </w:t>
      </w:r>
      <w:r w:rsidR="00EF3518">
        <w:t xml:space="preserve">(line 10) </w:t>
      </w:r>
      <w:r>
        <w:t>which allows for dwellings not being in the</w:t>
      </w:r>
      <w:r w:rsidRPr="00400765">
        <w:t xml:space="preserve"> Valuation List for</w:t>
      </w:r>
      <w:r>
        <w:t xml:space="preserve"> the entire period. </w:t>
      </w:r>
    </w:p>
    <w:p w14:paraId="0194ED72" w14:textId="52BA3688" w:rsidR="00E33416" w:rsidRPr="00E33416" w:rsidRDefault="00E33416" w:rsidP="00E33416">
      <w:pPr>
        <w:pStyle w:val="Bulletpoints"/>
        <w:numPr>
          <w:ilvl w:val="0"/>
          <w:numId w:val="0"/>
        </w:numPr>
        <w:ind w:left="1440"/>
      </w:pPr>
      <w:r>
        <w:t xml:space="preserve">(ii) </w:t>
      </w:r>
      <w:r w:rsidRPr="00CD5BDE">
        <w:rPr>
          <w:b/>
        </w:rPr>
        <w:t>Allowance for non-collection</w:t>
      </w:r>
      <w:r>
        <w:t xml:space="preserve"> </w:t>
      </w:r>
      <w:r w:rsidR="00687B34" w:rsidRPr="00F05AD0">
        <w:t xml:space="preserve">– </w:t>
      </w:r>
      <w:r w:rsidRPr="00F05AD0">
        <w:t xml:space="preserve">The Council is required to make an allowance for non-collection of Council Tax. </w:t>
      </w:r>
      <w:r w:rsidR="006E7743" w:rsidRPr="00F05AD0">
        <w:t xml:space="preserve">Collection of Council Tax in </w:t>
      </w:r>
      <w:r w:rsidR="00332CBF" w:rsidRPr="00F05AD0">
        <w:t>202</w:t>
      </w:r>
      <w:r w:rsidR="00EF3518">
        <w:t>4</w:t>
      </w:r>
      <w:r w:rsidR="00332CBF" w:rsidRPr="00F05AD0">
        <w:t>/2</w:t>
      </w:r>
      <w:r w:rsidR="00EF3518">
        <w:t>5</w:t>
      </w:r>
      <w:r w:rsidR="00332CBF" w:rsidRPr="00F05AD0">
        <w:t xml:space="preserve"> has remained consistent with the collection performance of </w:t>
      </w:r>
      <w:r w:rsidR="006E7743" w:rsidRPr="00F05AD0">
        <w:t>202</w:t>
      </w:r>
      <w:r w:rsidR="00EF3518">
        <w:t>3</w:t>
      </w:r>
      <w:r w:rsidR="00E40B42" w:rsidRPr="00F05AD0">
        <w:t>/2</w:t>
      </w:r>
      <w:r w:rsidR="00EF3518">
        <w:t>4</w:t>
      </w:r>
      <w:r w:rsidR="00332CBF" w:rsidRPr="00F05AD0">
        <w:t>. I</w:t>
      </w:r>
      <w:r w:rsidRPr="00F05AD0">
        <w:t>t is critical that the tax base is maintained to an optimum level to ensure Council Tax income is maximised.</w:t>
      </w:r>
      <w:r>
        <w:t xml:space="preserve"> </w:t>
      </w:r>
      <w:r w:rsidR="00101AD2">
        <w:t>Consequently,</w:t>
      </w:r>
      <w:r>
        <w:t xml:space="preserve"> the Head of Financial Services has recommended that the allowance for 202</w:t>
      </w:r>
      <w:r w:rsidR="00EF3518">
        <w:t>5</w:t>
      </w:r>
      <w:r w:rsidR="00E40B42">
        <w:t>/2</w:t>
      </w:r>
      <w:r w:rsidR="00EF3518">
        <w:t>6</w:t>
      </w:r>
      <w:r>
        <w:t xml:space="preserve"> remains at 2%. </w:t>
      </w:r>
    </w:p>
    <w:p w14:paraId="5EDA7FAF" w14:textId="77777777" w:rsidR="00B4532B" w:rsidRDefault="00B4532B">
      <w:pPr>
        <w:spacing w:after="0"/>
        <w:rPr>
          <w:b/>
        </w:rPr>
      </w:pPr>
      <w:r>
        <w:br w:type="page"/>
      </w:r>
    </w:p>
    <w:p w14:paraId="4965CFED" w14:textId="5B40C536" w:rsidR="00E33416" w:rsidRPr="00E33416" w:rsidRDefault="00E33416" w:rsidP="00E33416">
      <w:pPr>
        <w:pStyle w:val="Heading1"/>
      </w:pPr>
      <w:r w:rsidRPr="00E33416">
        <w:lastRenderedPageBreak/>
        <w:t>Calculation method</w:t>
      </w:r>
    </w:p>
    <w:p w14:paraId="61E69081" w14:textId="1E6C9572" w:rsidR="00E33416" w:rsidRDefault="00E33416" w:rsidP="00E33416">
      <w:pPr>
        <w:pStyle w:val="bParagraphtext"/>
      </w:pPr>
      <w:r>
        <w:t xml:space="preserve">The method used to calculate the Tax Base is prescribed by the Local Authorities (Calculation of Council Tax Base) </w:t>
      </w:r>
      <w:r w:rsidR="003250C9">
        <w:t xml:space="preserve">(England) </w:t>
      </w:r>
      <w:r>
        <w:t>Regulations 2012 (SI 2012/2914). The basic calculation is as follows:</w:t>
      </w:r>
    </w:p>
    <w:p w14:paraId="65429D1F" w14:textId="77777777" w:rsidR="00E33416" w:rsidRDefault="00E33416" w:rsidP="00E33416">
      <w:pPr>
        <w:numPr>
          <w:ilvl w:val="0"/>
          <w:numId w:val="38"/>
        </w:numPr>
        <w:tabs>
          <w:tab w:val="clear" w:pos="1800"/>
          <w:tab w:val="num" w:pos="1134"/>
        </w:tabs>
        <w:ind w:left="1134"/>
      </w:pPr>
      <w:r>
        <w:t>Number of dwellings in each of the valuation bands</w:t>
      </w:r>
    </w:p>
    <w:p w14:paraId="47929C8E" w14:textId="77777777" w:rsidR="009B0129" w:rsidRDefault="00E33416" w:rsidP="00E33416">
      <w:pPr>
        <w:numPr>
          <w:ilvl w:val="0"/>
          <w:numId w:val="38"/>
        </w:numPr>
        <w:tabs>
          <w:tab w:val="clear" w:pos="1800"/>
          <w:tab w:val="num" w:pos="1134"/>
          <w:tab w:val="left" w:pos="1980"/>
        </w:tabs>
        <w:ind w:left="1134"/>
      </w:pPr>
      <w:r>
        <w:t>Less</w:t>
      </w:r>
      <w:r w:rsidR="009B0129">
        <w:t>:</w:t>
      </w:r>
      <w:r>
        <w:t xml:space="preserve"> </w:t>
      </w:r>
    </w:p>
    <w:p w14:paraId="5E8CDBCF" w14:textId="77777777" w:rsidR="00E33416" w:rsidRDefault="00E33416" w:rsidP="009B0129">
      <w:pPr>
        <w:numPr>
          <w:ilvl w:val="0"/>
          <w:numId w:val="39"/>
        </w:numPr>
        <w:ind w:left="1560"/>
      </w:pPr>
      <w:r>
        <w:t>Exempt dwellings</w:t>
      </w:r>
    </w:p>
    <w:p w14:paraId="5CD98770" w14:textId="77777777" w:rsidR="00E33416" w:rsidRDefault="00E33416" w:rsidP="00E33416">
      <w:pPr>
        <w:numPr>
          <w:ilvl w:val="0"/>
          <w:numId w:val="39"/>
        </w:numPr>
        <w:ind w:left="1560"/>
      </w:pPr>
      <w:r>
        <w:t>Disabled reductions</w:t>
      </w:r>
    </w:p>
    <w:p w14:paraId="202DBB77" w14:textId="77777777" w:rsidR="009B0129" w:rsidRDefault="00E33416" w:rsidP="009B0129">
      <w:pPr>
        <w:numPr>
          <w:ilvl w:val="0"/>
          <w:numId w:val="39"/>
        </w:numPr>
        <w:ind w:left="1560"/>
      </w:pPr>
      <w:r>
        <w:t>Discounts (25% and 50%)</w:t>
      </w:r>
      <w:r w:rsidR="009B0129" w:rsidRPr="009B0129">
        <w:t xml:space="preserve"> </w:t>
      </w:r>
    </w:p>
    <w:p w14:paraId="157D8DAA" w14:textId="77777777" w:rsidR="00E33416" w:rsidRDefault="009B0129" w:rsidP="009B0129">
      <w:pPr>
        <w:numPr>
          <w:ilvl w:val="0"/>
          <w:numId w:val="39"/>
        </w:numPr>
        <w:ind w:left="1560"/>
      </w:pPr>
      <w:r>
        <w:t>Dwellings eligible for the Council Tax Reduction Scheme</w:t>
      </w:r>
    </w:p>
    <w:p w14:paraId="0CB06689" w14:textId="77777777" w:rsidR="009B0129" w:rsidRDefault="009B0129" w:rsidP="00E33416">
      <w:pPr>
        <w:numPr>
          <w:ilvl w:val="0"/>
          <w:numId w:val="34"/>
        </w:numPr>
        <w:tabs>
          <w:tab w:val="clear" w:pos="360"/>
        </w:tabs>
        <w:ind w:left="1134" w:hanging="425"/>
      </w:pPr>
      <w:r>
        <w:t>Plus:</w:t>
      </w:r>
    </w:p>
    <w:p w14:paraId="665A5CF3" w14:textId="30993430" w:rsidR="009B0129" w:rsidRDefault="009B0129" w:rsidP="009B0129">
      <w:pPr>
        <w:numPr>
          <w:ilvl w:val="0"/>
          <w:numId w:val="39"/>
        </w:numPr>
        <w:ind w:left="1560"/>
      </w:pPr>
      <w:r>
        <w:t>Long Term Empty Property Premiums</w:t>
      </w:r>
    </w:p>
    <w:p w14:paraId="1F223FDE" w14:textId="177438E6" w:rsidR="00EF3518" w:rsidRDefault="00EF3518" w:rsidP="00EF3518">
      <w:pPr>
        <w:numPr>
          <w:ilvl w:val="0"/>
          <w:numId w:val="39"/>
        </w:numPr>
        <w:ind w:left="1560"/>
      </w:pPr>
      <w:r>
        <w:t>Second Home Property Premiums</w:t>
      </w:r>
    </w:p>
    <w:p w14:paraId="33ACC58C" w14:textId="77777777" w:rsidR="00E33416" w:rsidRDefault="00E33416" w:rsidP="00E33416">
      <w:pPr>
        <w:numPr>
          <w:ilvl w:val="0"/>
          <w:numId w:val="34"/>
        </w:numPr>
        <w:tabs>
          <w:tab w:val="clear" w:pos="360"/>
        </w:tabs>
        <w:ind w:left="1134" w:hanging="425"/>
      </w:pPr>
      <w:r>
        <w:t xml:space="preserve">Convert to Band D </w:t>
      </w:r>
      <w:proofErr w:type="gramStart"/>
      <w:r>
        <w:t>equivalents</w:t>
      </w:r>
      <w:proofErr w:type="gramEnd"/>
    </w:p>
    <w:p w14:paraId="06235B96" w14:textId="07B48F3E" w:rsidR="00E33416" w:rsidRDefault="00E33416" w:rsidP="00E33416">
      <w:pPr>
        <w:numPr>
          <w:ilvl w:val="0"/>
          <w:numId w:val="34"/>
        </w:numPr>
        <w:tabs>
          <w:tab w:val="clear" w:pos="360"/>
        </w:tabs>
        <w:ind w:left="1134" w:hanging="425"/>
      </w:pPr>
      <w:r>
        <w:t>Adjus</w:t>
      </w:r>
      <w:r w:rsidR="009B0129">
        <w:t>t for projected collection rate</w:t>
      </w:r>
      <w:r w:rsidR="00112188">
        <w:t xml:space="preserve"> of 98%</w:t>
      </w:r>
    </w:p>
    <w:p w14:paraId="532BAF23" w14:textId="737B3438" w:rsidR="00EF3518" w:rsidRDefault="00E33416" w:rsidP="00ED2909">
      <w:pPr>
        <w:pStyle w:val="bParagraphtext"/>
        <w:spacing w:after="0"/>
      </w:pPr>
      <w:r>
        <w:t xml:space="preserve">Appendices 1 and 2 attached set out the requisite calculations for the Authority </w:t>
      </w:r>
      <w:proofErr w:type="gramStart"/>
      <w:r>
        <w:t>as a whole as well as</w:t>
      </w:r>
      <w:proofErr w:type="gramEnd"/>
      <w:r>
        <w:t xml:space="preserve"> for the </w:t>
      </w:r>
      <w:proofErr w:type="spellStart"/>
      <w:r>
        <w:t>Parished</w:t>
      </w:r>
      <w:proofErr w:type="spellEnd"/>
      <w:r>
        <w:t xml:space="preserve"> and Unparished areas of the City. Table 1 below </w:t>
      </w:r>
      <w:r w:rsidR="00EF3518">
        <w:t xml:space="preserve">shows the total number of chargeable Council </w:t>
      </w:r>
      <w:r w:rsidR="00A548EB">
        <w:t xml:space="preserve">Tax </w:t>
      </w:r>
      <w:r w:rsidR="00EF3518">
        <w:t>Dwellings by Parish</w:t>
      </w:r>
      <w:r w:rsidR="00A548EB">
        <w:t>.</w:t>
      </w:r>
      <w:r w:rsidR="00EF3518">
        <w:t xml:space="preserve"> </w:t>
      </w:r>
      <w:r w:rsidR="00BB3A1A">
        <w:t xml:space="preserve">This is after exemptions have been removed.  </w:t>
      </w:r>
    </w:p>
    <w:p w14:paraId="6E1AE0F6" w14:textId="77777777" w:rsidR="008643B9" w:rsidRDefault="008643B9" w:rsidP="00C767D9">
      <w:pPr>
        <w:pStyle w:val="bParagraphtext"/>
        <w:numPr>
          <w:ilvl w:val="0"/>
          <w:numId w:val="0"/>
        </w:numPr>
        <w:spacing w:after="0"/>
      </w:pPr>
    </w:p>
    <w:p w14:paraId="1633E28E" w14:textId="315ADEE7" w:rsidR="00EF3518" w:rsidRDefault="00BB3A1A" w:rsidP="00C7579F">
      <w:pPr>
        <w:spacing w:after="0"/>
        <w:jc w:val="center"/>
      </w:pPr>
      <w:r w:rsidRPr="00BB3A1A">
        <w:rPr>
          <w:noProof/>
        </w:rPr>
        <w:drawing>
          <wp:inline distT="0" distB="0" distL="0" distR="0" wp14:anchorId="12161B1B" wp14:editId="007F5E8C">
            <wp:extent cx="5106670" cy="1975485"/>
            <wp:effectExtent l="0" t="0" r="0" b="5715"/>
            <wp:docPr id="12730984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06670" cy="1975485"/>
                    </a:xfrm>
                    <a:prstGeom prst="rect">
                      <a:avLst/>
                    </a:prstGeom>
                    <a:noFill/>
                    <a:ln>
                      <a:noFill/>
                    </a:ln>
                  </pic:spPr>
                </pic:pic>
              </a:graphicData>
            </a:graphic>
          </wp:inline>
        </w:drawing>
      </w:r>
    </w:p>
    <w:p w14:paraId="60140C62" w14:textId="77777777" w:rsidR="00EF3518" w:rsidRDefault="00EF3518">
      <w:pPr>
        <w:spacing w:after="0"/>
      </w:pPr>
    </w:p>
    <w:p w14:paraId="469064CD" w14:textId="77777777" w:rsidR="00A548EB" w:rsidRDefault="00A548EB">
      <w:pPr>
        <w:spacing w:after="0"/>
      </w:pPr>
      <w:r>
        <w:br w:type="page"/>
      </w:r>
    </w:p>
    <w:p w14:paraId="46F7D9DB" w14:textId="60F6FFF4" w:rsidR="00A077B5" w:rsidRDefault="00A548EB" w:rsidP="00A077B5">
      <w:pPr>
        <w:pStyle w:val="bParagraphtext"/>
      </w:pPr>
      <w:r>
        <w:lastRenderedPageBreak/>
        <w:t>Table 2 below splits the total number of chargeable Council Tax Dwellings</w:t>
      </w:r>
      <w:r w:rsidR="00C767D9">
        <w:t xml:space="preserve"> for 2025/26</w:t>
      </w:r>
      <w:r>
        <w:t xml:space="preserve"> into discount and premium categories and converts them to Band D equivalent dwellings. From this, the projected collection rate can be applied. </w:t>
      </w:r>
    </w:p>
    <w:p w14:paraId="650C7ED7" w14:textId="77777777" w:rsidR="00A548EB" w:rsidRDefault="00A548EB" w:rsidP="00A548EB">
      <w:pPr>
        <w:spacing w:after="0"/>
      </w:pPr>
    </w:p>
    <w:p w14:paraId="4091668E" w14:textId="63B5005E" w:rsidR="00A548EB" w:rsidRDefault="00E324FA" w:rsidP="000C4412">
      <w:pPr>
        <w:spacing w:after="0"/>
        <w:jc w:val="center"/>
      </w:pPr>
      <w:r w:rsidRPr="00E324FA">
        <w:rPr>
          <w:noProof/>
        </w:rPr>
        <w:drawing>
          <wp:inline distT="0" distB="0" distL="0" distR="0" wp14:anchorId="2F82D894" wp14:editId="75345984">
            <wp:extent cx="5904230" cy="2598420"/>
            <wp:effectExtent l="0" t="0" r="1270" b="0"/>
            <wp:docPr id="16640936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04230" cy="2598420"/>
                    </a:xfrm>
                    <a:prstGeom prst="rect">
                      <a:avLst/>
                    </a:prstGeom>
                    <a:noFill/>
                    <a:ln>
                      <a:noFill/>
                    </a:ln>
                  </pic:spPr>
                </pic:pic>
              </a:graphicData>
            </a:graphic>
          </wp:inline>
        </w:drawing>
      </w:r>
    </w:p>
    <w:p w14:paraId="615BAAD2" w14:textId="77777777" w:rsidR="000C4412" w:rsidRDefault="000C4412">
      <w:pPr>
        <w:spacing w:after="0"/>
      </w:pPr>
    </w:p>
    <w:p w14:paraId="10FEDFC2" w14:textId="77777777" w:rsidR="008643B9" w:rsidRDefault="008643B9" w:rsidP="008643B9">
      <w:pPr>
        <w:pStyle w:val="ListParagraph"/>
        <w:ind w:left="360" w:hanging="360"/>
      </w:pPr>
      <w:r>
        <w:t xml:space="preserve">Table 3 below analyses the movement between the 2024/25 Council Tax Base and the 2025/26 Council Tax Base. </w:t>
      </w:r>
    </w:p>
    <w:p w14:paraId="42F7F999" w14:textId="77777777" w:rsidR="00A077B5" w:rsidRDefault="00A077B5">
      <w:pPr>
        <w:spacing w:after="0"/>
      </w:pPr>
    </w:p>
    <w:p w14:paraId="272A69A1" w14:textId="5E54A767" w:rsidR="008643B9" w:rsidRDefault="008643B9" w:rsidP="008643B9">
      <w:pPr>
        <w:spacing w:after="0"/>
        <w:jc w:val="center"/>
      </w:pPr>
      <w:r w:rsidRPr="008643B9">
        <w:rPr>
          <w:noProof/>
        </w:rPr>
        <w:drawing>
          <wp:inline distT="0" distB="0" distL="0" distR="0" wp14:anchorId="703B7DD6" wp14:editId="2195122D">
            <wp:extent cx="5904230" cy="2912110"/>
            <wp:effectExtent l="0" t="0" r="1270" b="2540"/>
            <wp:docPr id="52526546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04230" cy="2912110"/>
                    </a:xfrm>
                    <a:prstGeom prst="rect">
                      <a:avLst/>
                    </a:prstGeom>
                    <a:noFill/>
                    <a:ln>
                      <a:noFill/>
                    </a:ln>
                  </pic:spPr>
                </pic:pic>
              </a:graphicData>
            </a:graphic>
          </wp:inline>
        </w:drawing>
      </w:r>
    </w:p>
    <w:p w14:paraId="32876B6E" w14:textId="77777777" w:rsidR="00A077B5" w:rsidRDefault="00A077B5">
      <w:pPr>
        <w:spacing w:after="0"/>
      </w:pPr>
    </w:p>
    <w:p w14:paraId="7FB7FEB6" w14:textId="4DEAB06C" w:rsidR="00EF0B98" w:rsidRDefault="00EF0B98">
      <w:pPr>
        <w:spacing w:after="0"/>
      </w:pPr>
      <w:r>
        <w:br w:type="page"/>
      </w:r>
    </w:p>
    <w:p w14:paraId="309E2BE0" w14:textId="5CEA66F0" w:rsidR="00150736" w:rsidRDefault="00150736" w:rsidP="00150736">
      <w:pPr>
        <w:pStyle w:val="bParagraphtext"/>
      </w:pPr>
      <w:r>
        <w:lastRenderedPageBreak/>
        <w:t xml:space="preserve">Table </w:t>
      </w:r>
      <w:r w:rsidR="00C767D9">
        <w:t>4</w:t>
      </w:r>
      <w:r>
        <w:t xml:space="preserve"> below shows the principal changes between the actual tax base for </w:t>
      </w:r>
      <w:r w:rsidRPr="009B0129">
        <w:t>202</w:t>
      </w:r>
      <w:r>
        <w:t>4</w:t>
      </w:r>
      <w:r w:rsidRPr="009B0129">
        <w:t>/2</w:t>
      </w:r>
      <w:r>
        <w:t xml:space="preserve">5 and that proposed tax base for 2025/26, with the movement broken down by properties receiving discounts, premiums and paying the full charge. </w:t>
      </w:r>
    </w:p>
    <w:p w14:paraId="3F05F6F5" w14:textId="77777777" w:rsidR="00150736" w:rsidRDefault="00150736" w:rsidP="00150736">
      <w:pPr>
        <w:pStyle w:val="bParagraphtext"/>
        <w:numPr>
          <w:ilvl w:val="0"/>
          <w:numId w:val="0"/>
        </w:numPr>
      </w:pPr>
    </w:p>
    <w:p w14:paraId="62DFF2E3" w14:textId="430391F9" w:rsidR="00150736" w:rsidRDefault="00364F7C" w:rsidP="00150736">
      <w:pPr>
        <w:pStyle w:val="bParagraphtext"/>
        <w:numPr>
          <w:ilvl w:val="0"/>
          <w:numId w:val="0"/>
        </w:numPr>
        <w:ind w:left="1800" w:hanging="1091"/>
        <w:jc w:val="center"/>
      </w:pPr>
      <w:r w:rsidRPr="00364F7C">
        <w:rPr>
          <w:noProof/>
        </w:rPr>
        <w:drawing>
          <wp:inline distT="0" distB="0" distL="0" distR="0" wp14:anchorId="3FE678E9" wp14:editId="1AC2ECCF">
            <wp:extent cx="4152900" cy="3200400"/>
            <wp:effectExtent l="0" t="0" r="0" b="0"/>
            <wp:docPr id="181512287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52900" cy="3200400"/>
                    </a:xfrm>
                    <a:prstGeom prst="rect">
                      <a:avLst/>
                    </a:prstGeom>
                    <a:noFill/>
                    <a:ln>
                      <a:noFill/>
                    </a:ln>
                  </pic:spPr>
                </pic:pic>
              </a:graphicData>
            </a:graphic>
          </wp:inline>
        </w:drawing>
      </w:r>
    </w:p>
    <w:p w14:paraId="6F8D5E5A" w14:textId="4CC92A65" w:rsidR="00E33416" w:rsidRPr="00697420" w:rsidRDefault="00E33416" w:rsidP="00150736">
      <w:pPr>
        <w:pStyle w:val="Heading1"/>
      </w:pPr>
      <w:r w:rsidRPr="004367F5">
        <w:t xml:space="preserve">Reasons for </w:t>
      </w:r>
      <w:r w:rsidR="002C710A" w:rsidRPr="004367F5">
        <w:t xml:space="preserve">the </w:t>
      </w:r>
      <w:r w:rsidR="00DB4ED9" w:rsidRPr="004367F5">
        <w:t xml:space="preserve">overall </w:t>
      </w:r>
      <w:r w:rsidR="002C710A" w:rsidRPr="004367F5">
        <w:t>increases</w:t>
      </w:r>
      <w:r w:rsidRPr="004367F5">
        <w:t xml:space="preserve"> in </w:t>
      </w:r>
      <w:r w:rsidR="002C710A" w:rsidRPr="004367F5">
        <w:t xml:space="preserve">the </w:t>
      </w:r>
      <w:r w:rsidRPr="004367F5">
        <w:t>Council Tax Base</w:t>
      </w:r>
    </w:p>
    <w:p w14:paraId="1D698A2C" w14:textId="0F24A01D" w:rsidR="00EB2D95" w:rsidRPr="00EF0B98" w:rsidRDefault="002C710A" w:rsidP="00EB2D95">
      <w:pPr>
        <w:pStyle w:val="bParagraphtext"/>
      </w:pPr>
      <w:r>
        <w:t>The reason</w:t>
      </w:r>
      <w:r w:rsidR="00EB2D95">
        <w:t>s</w:t>
      </w:r>
      <w:r>
        <w:t xml:space="preserve"> for the </w:t>
      </w:r>
      <w:r w:rsidR="00150736">
        <w:t>3</w:t>
      </w:r>
      <w:r>
        <w:t>.</w:t>
      </w:r>
      <w:r w:rsidR="00150736">
        <w:t>03</w:t>
      </w:r>
      <w:r>
        <w:t xml:space="preserve">% overall increase in the Council Tax Base compared to </w:t>
      </w:r>
      <w:r w:rsidRPr="00EF0B98">
        <w:t>the 202</w:t>
      </w:r>
      <w:r w:rsidR="00150736">
        <w:t>4</w:t>
      </w:r>
      <w:r w:rsidRPr="00EF0B98">
        <w:t>/2</w:t>
      </w:r>
      <w:r w:rsidR="00150736">
        <w:t>5</w:t>
      </w:r>
      <w:r w:rsidRPr="00EF0B98">
        <w:t xml:space="preserve"> </w:t>
      </w:r>
      <w:r w:rsidR="00D27C5B" w:rsidRPr="00EF0B98">
        <w:t>T</w:t>
      </w:r>
      <w:r w:rsidRPr="00EF0B98">
        <w:t xml:space="preserve">ax </w:t>
      </w:r>
      <w:r w:rsidR="00D27C5B" w:rsidRPr="00EF0B98">
        <w:t>B</w:t>
      </w:r>
      <w:r w:rsidRPr="00EF0B98">
        <w:t xml:space="preserve">ase </w:t>
      </w:r>
      <w:r w:rsidR="00EB2D95" w:rsidRPr="00EF0B98">
        <w:t>are d</w:t>
      </w:r>
      <w:r w:rsidRPr="00EF0B98">
        <w:t>ue to</w:t>
      </w:r>
      <w:r w:rsidR="00EB2D95" w:rsidRPr="00EF0B98">
        <w:t>:</w:t>
      </w:r>
      <w:r w:rsidRPr="00EF0B98">
        <w:t xml:space="preserve"> </w:t>
      </w:r>
    </w:p>
    <w:p w14:paraId="311DD550" w14:textId="608D367A" w:rsidR="00C767D9" w:rsidRDefault="00C767D9" w:rsidP="00EF0B98">
      <w:pPr>
        <w:pStyle w:val="bParagraphtext"/>
        <w:numPr>
          <w:ilvl w:val="1"/>
          <w:numId w:val="14"/>
        </w:numPr>
      </w:pPr>
      <w:r w:rsidRPr="00EF0B98">
        <w:t>The introduction of the Second Home Premium charge</w:t>
      </w:r>
    </w:p>
    <w:p w14:paraId="2AC33219" w14:textId="1E7241D8" w:rsidR="00EF0B98" w:rsidRPr="00975B8B" w:rsidRDefault="005E3376" w:rsidP="00EF0B98">
      <w:pPr>
        <w:pStyle w:val="bParagraphtext"/>
        <w:numPr>
          <w:ilvl w:val="1"/>
          <w:numId w:val="14"/>
        </w:numPr>
      </w:pPr>
      <w:r w:rsidRPr="00975B8B">
        <w:t>An</w:t>
      </w:r>
      <w:r w:rsidR="00EF0B98" w:rsidRPr="00975B8B">
        <w:t xml:space="preserve"> increase in the</w:t>
      </w:r>
      <w:r w:rsidRPr="00975B8B">
        <w:t xml:space="preserve"> estimated</w:t>
      </w:r>
      <w:r w:rsidR="00EF0B98" w:rsidRPr="00975B8B">
        <w:t xml:space="preserve"> number of new </w:t>
      </w:r>
      <w:r w:rsidRPr="00975B8B">
        <w:t>chargeable</w:t>
      </w:r>
      <w:r w:rsidR="00EF0B98" w:rsidRPr="00975B8B">
        <w:t xml:space="preserve"> dwellings</w:t>
      </w:r>
      <w:r w:rsidRPr="00975B8B">
        <w:t xml:space="preserve"> for the remainder of 2024/25</w:t>
      </w:r>
      <w:r w:rsidR="00EF0B98" w:rsidRPr="00975B8B">
        <w:t xml:space="preserve">. </w:t>
      </w:r>
      <w:r w:rsidRPr="00975B8B">
        <w:t xml:space="preserve">This is mostly due to </w:t>
      </w:r>
      <w:r w:rsidR="00EF0B98" w:rsidRPr="00975B8B">
        <w:t xml:space="preserve">the developments </w:t>
      </w:r>
      <w:r w:rsidR="004F6BA7" w:rsidRPr="00975B8B">
        <w:t>in Barton Park</w:t>
      </w:r>
      <w:r w:rsidRPr="00975B8B">
        <w:t xml:space="preserve"> and Wolvercote</w:t>
      </w:r>
      <w:r w:rsidR="00EF0B98" w:rsidRPr="00975B8B">
        <w:t xml:space="preserve">. </w:t>
      </w:r>
    </w:p>
    <w:p w14:paraId="4BE1A169" w14:textId="38E9B3E5" w:rsidR="00EB2D95" w:rsidRPr="00975B8B" w:rsidRDefault="00B90BC0" w:rsidP="00EB2D95">
      <w:pPr>
        <w:pStyle w:val="bParagraphtext"/>
        <w:numPr>
          <w:ilvl w:val="1"/>
          <w:numId w:val="14"/>
        </w:numPr>
      </w:pPr>
      <w:r w:rsidRPr="00975B8B">
        <w:t>The reduction</w:t>
      </w:r>
      <w:r w:rsidR="00EB2D95" w:rsidRPr="00975B8B">
        <w:t xml:space="preserve"> in the level of </w:t>
      </w:r>
      <w:r w:rsidRPr="00975B8B">
        <w:t xml:space="preserve">estimate </w:t>
      </w:r>
      <w:r w:rsidR="00EB2D95" w:rsidRPr="00975B8B">
        <w:t>Exemptions</w:t>
      </w:r>
      <w:r w:rsidRPr="00975B8B">
        <w:t xml:space="preserve"> that will be applied</w:t>
      </w:r>
      <w:r w:rsidR="00B6245B" w:rsidRPr="00975B8B">
        <w:t xml:space="preserve"> in 202</w:t>
      </w:r>
      <w:r w:rsidR="005E3376" w:rsidRPr="00975B8B">
        <w:t>5</w:t>
      </w:r>
      <w:r w:rsidR="00B6245B" w:rsidRPr="00975B8B">
        <w:t>/2</w:t>
      </w:r>
      <w:r w:rsidR="005E3376" w:rsidRPr="00975B8B">
        <w:t>6</w:t>
      </w:r>
      <w:r w:rsidR="00EB2D95" w:rsidRPr="00975B8B">
        <w:t xml:space="preserve">. </w:t>
      </w:r>
      <w:r w:rsidR="00455ABF" w:rsidRPr="00975B8B">
        <w:t xml:space="preserve">This reduction in estimated Exemptions has </w:t>
      </w:r>
      <w:r w:rsidR="00574F67" w:rsidRPr="00975B8B">
        <w:t xml:space="preserve">occurred </w:t>
      </w:r>
      <w:r w:rsidR="00455ABF" w:rsidRPr="00975B8B">
        <w:t xml:space="preserve">due to </w:t>
      </w:r>
      <w:r w:rsidR="005E3376" w:rsidRPr="00975B8B">
        <w:t xml:space="preserve">continuous reviews being conducted by the Council’s Revenues Team to ensure the correct exemptions are being applied. </w:t>
      </w:r>
    </w:p>
    <w:p w14:paraId="558F8811" w14:textId="77777777" w:rsidR="00C767D9" w:rsidRDefault="00C767D9">
      <w:pPr>
        <w:spacing w:after="0"/>
      </w:pPr>
      <w:r>
        <w:br w:type="page"/>
      </w:r>
    </w:p>
    <w:p w14:paraId="64333A2D" w14:textId="277BDB0F" w:rsidR="00C767D9" w:rsidRDefault="00C767D9" w:rsidP="00C767D9">
      <w:pPr>
        <w:pStyle w:val="bParagraphtext"/>
      </w:pPr>
      <w:r>
        <w:lastRenderedPageBreak/>
        <w:t>Table 5 below then summarises the Tax Bases by Parishes.</w:t>
      </w:r>
    </w:p>
    <w:p w14:paraId="1C4BAC10" w14:textId="77777777" w:rsidR="00C767D9" w:rsidRDefault="00C767D9" w:rsidP="00C767D9">
      <w:pPr>
        <w:spacing w:after="0"/>
      </w:pPr>
    </w:p>
    <w:p w14:paraId="1E14A1E1" w14:textId="304F6935" w:rsidR="00C767D9" w:rsidRDefault="00364F7C" w:rsidP="00C767D9">
      <w:pPr>
        <w:spacing w:after="0"/>
        <w:jc w:val="center"/>
      </w:pPr>
      <w:r w:rsidRPr="00364F7C">
        <w:rPr>
          <w:noProof/>
        </w:rPr>
        <w:drawing>
          <wp:inline distT="0" distB="0" distL="0" distR="0" wp14:anchorId="70A55A59" wp14:editId="324F8934">
            <wp:extent cx="5105400" cy="1971675"/>
            <wp:effectExtent l="0" t="0" r="0" b="9525"/>
            <wp:docPr id="56042958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105400" cy="1971675"/>
                    </a:xfrm>
                    <a:prstGeom prst="rect">
                      <a:avLst/>
                    </a:prstGeom>
                    <a:noFill/>
                    <a:ln>
                      <a:noFill/>
                    </a:ln>
                  </pic:spPr>
                </pic:pic>
              </a:graphicData>
            </a:graphic>
          </wp:inline>
        </w:drawing>
      </w:r>
    </w:p>
    <w:p w14:paraId="1892F3D5" w14:textId="77777777" w:rsidR="00C767D9" w:rsidRDefault="00C767D9" w:rsidP="00C767D9">
      <w:pPr>
        <w:spacing w:after="0"/>
      </w:pPr>
    </w:p>
    <w:p w14:paraId="25313154" w14:textId="77777777" w:rsidR="0087508C" w:rsidRDefault="006C1F74" w:rsidP="0087508C">
      <w:pPr>
        <w:pStyle w:val="bParagraphtext"/>
      </w:pPr>
      <w:r w:rsidRPr="005933E2">
        <w:rPr>
          <w:u w:val="single"/>
        </w:rPr>
        <w:t xml:space="preserve">Tax </w:t>
      </w:r>
      <w:r w:rsidR="00D27C5B">
        <w:rPr>
          <w:u w:val="single"/>
        </w:rPr>
        <w:t>B</w:t>
      </w:r>
      <w:r w:rsidRPr="005933E2">
        <w:rPr>
          <w:u w:val="single"/>
        </w:rPr>
        <w:t>ases in the Parishes</w:t>
      </w:r>
      <w:r>
        <w:t xml:space="preserve">. </w:t>
      </w:r>
    </w:p>
    <w:p w14:paraId="77A54D59" w14:textId="48B48840" w:rsidR="0070032F" w:rsidRPr="00975B8B" w:rsidRDefault="0070032F" w:rsidP="00BB3A1A">
      <w:pPr>
        <w:pStyle w:val="ListParagraph"/>
        <w:numPr>
          <w:ilvl w:val="0"/>
          <w:numId w:val="0"/>
        </w:numPr>
        <w:ind w:left="360"/>
      </w:pPr>
      <w:r w:rsidRPr="00975B8B">
        <w:t xml:space="preserve">The biggest changes in the Parish Tax Bases can be seen in the increase for Risinghurst &amp; Sandhills. The increase in the </w:t>
      </w:r>
      <w:r w:rsidR="00BB3A1A" w:rsidRPr="00975B8B">
        <w:t xml:space="preserve">Risinghurst &amp; Sandhills </w:t>
      </w:r>
      <w:r w:rsidRPr="00975B8B">
        <w:t xml:space="preserve">Tax Base </w:t>
      </w:r>
      <w:r w:rsidR="00CA3525" w:rsidRPr="00975B8B">
        <w:t xml:space="preserve">the introduction of the Second Homes Premium as well as </w:t>
      </w:r>
      <w:r w:rsidR="00BB3A1A" w:rsidRPr="00975B8B">
        <w:t>reductions in the number of chargeable dwellings subject to exemptions</w:t>
      </w:r>
      <w:r w:rsidRPr="00975B8B">
        <w:t xml:space="preserve">. </w:t>
      </w:r>
    </w:p>
    <w:p w14:paraId="4F9916E9" w14:textId="6CF1A526" w:rsidR="00B05A49" w:rsidRPr="00975B8B" w:rsidRDefault="00BB3A1A" w:rsidP="00CA3525">
      <w:pPr>
        <w:pStyle w:val="bParagraphtext"/>
        <w:numPr>
          <w:ilvl w:val="0"/>
          <w:numId w:val="0"/>
        </w:numPr>
        <w:ind w:left="360"/>
      </w:pPr>
      <w:r w:rsidRPr="00975B8B">
        <w:t>The other parishes</w:t>
      </w:r>
      <w:r w:rsidR="0087508C" w:rsidRPr="00975B8B">
        <w:t xml:space="preserve"> have seen </w:t>
      </w:r>
      <w:r w:rsidR="00B05A49" w:rsidRPr="00975B8B">
        <w:t>minimal</w:t>
      </w:r>
      <w:r w:rsidR="0087508C" w:rsidRPr="00975B8B">
        <w:t xml:space="preserve"> </w:t>
      </w:r>
      <w:r w:rsidR="00CF79E3" w:rsidRPr="00975B8B">
        <w:t>changes in the Tax</w:t>
      </w:r>
      <w:r w:rsidR="0087508C" w:rsidRPr="00975B8B">
        <w:t xml:space="preserve"> </w:t>
      </w:r>
      <w:r w:rsidR="00CF79E3" w:rsidRPr="00975B8B">
        <w:t>Base for 202</w:t>
      </w:r>
      <w:r w:rsidRPr="00975B8B">
        <w:t>5</w:t>
      </w:r>
      <w:r w:rsidR="00CF79E3" w:rsidRPr="00975B8B">
        <w:t>/2</w:t>
      </w:r>
      <w:r w:rsidRPr="00975B8B">
        <w:t>6</w:t>
      </w:r>
      <w:r w:rsidR="00B05A49" w:rsidRPr="00975B8B">
        <w:t xml:space="preserve">. This is due to </w:t>
      </w:r>
      <w:r w:rsidR="00CA3525" w:rsidRPr="00975B8B">
        <w:t xml:space="preserve">the introduction of the Second Homes Premium being mostly offset by increases in the number of residents subject to the Council Tax Reduction Scheme. </w:t>
      </w:r>
    </w:p>
    <w:p w14:paraId="5791BD17" w14:textId="301AB2A1" w:rsidR="00BB3A1A" w:rsidRDefault="00BB3A1A" w:rsidP="00CF79E3">
      <w:pPr>
        <w:pStyle w:val="bParagraphtext"/>
        <w:numPr>
          <w:ilvl w:val="0"/>
          <w:numId w:val="0"/>
        </w:numPr>
        <w:ind w:left="360"/>
      </w:pPr>
      <w:r w:rsidRPr="00975B8B">
        <w:t xml:space="preserve">The unparished area has seen the largest increase in the Tax Base for 2025/26. </w:t>
      </w:r>
      <w:r w:rsidR="00CA3525" w:rsidRPr="00975B8B">
        <w:t xml:space="preserve">This increase is also due to the introduction of the Second Homes premium and an increase in </w:t>
      </w:r>
      <w:r w:rsidRPr="00975B8B">
        <w:t>new dwellings becoming chargeable</w:t>
      </w:r>
      <w:r w:rsidR="00CA3525" w:rsidRPr="00975B8B">
        <w:t>. This is</w:t>
      </w:r>
      <w:r w:rsidRPr="00975B8B">
        <w:t xml:space="preserve"> due to expected progress of developments </w:t>
      </w:r>
      <w:r w:rsidR="00CA3525" w:rsidRPr="00975B8B">
        <w:t>in</w:t>
      </w:r>
      <w:r w:rsidRPr="00975B8B">
        <w:t xml:space="preserve"> Barton Park and Wolvercote.</w:t>
      </w:r>
      <w:r>
        <w:t xml:space="preserve"> </w:t>
      </w:r>
    </w:p>
    <w:p w14:paraId="5F5886DB" w14:textId="77777777" w:rsidR="00E33416" w:rsidRPr="00E33416" w:rsidRDefault="00E33416" w:rsidP="00DF2E0F">
      <w:pPr>
        <w:pStyle w:val="Heading1"/>
      </w:pPr>
      <w:r w:rsidRPr="00E33416">
        <w:t>Risk Implications</w:t>
      </w:r>
    </w:p>
    <w:p w14:paraId="623A5BA5" w14:textId="77777777" w:rsidR="00E33416" w:rsidRPr="00E33416" w:rsidRDefault="00E33416" w:rsidP="00E33416">
      <w:pPr>
        <w:pStyle w:val="bParagraphtext"/>
      </w:pPr>
      <w:r w:rsidRPr="00F729DD">
        <w:t xml:space="preserve">A risk assessment has been undertaken and the risk register is attached at Appendix </w:t>
      </w:r>
      <w:r w:rsidR="00846DD9">
        <w:t>4</w:t>
      </w:r>
      <w:r w:rsidRPr="00F729DD">
        <w:t>.</w:t>
      </w:r>
    </w:p>
    <w:p w14:paraId="73DAABD8" w14:textId="77777777" w:rsidR="00E33416" w:rsidRPr="00E33416" w:rsidRDefault="00E33416" w:rsidP="00E33416">
      <w:pPr>
        <w:pStyle w:val="Heading1"/>
      </w:pPr>
      <w:r w:rsidRPr="00E33416">
        <w:t>Equalities Impact Assessment</w:t>
      </w:r>
    </w:p>
    <w:p w14:paraId="26FF74AE" w14:textId="77777777" w:rsidR="00E33416" w:rsidRDefault="00E33416" w:rsidP="00E33416">
      <w:pPr>
        <w:pStyle w:val="bParagraphtext"/>
      </w:pPr>
      <w:r>
        <w:t>There are no</w:t>
      </w:r>
      <w:r w:rsidR="00864801">
        <w:t xml:space="preserve"> specific</w:t>
      </w:r>
      <w:r>
        <w:t xml:space="preserve"> Equalities Impact Assessment implications relating to the setting of the Tax Base as detailed in this report.</w:t>
      </w:r>
    </w:p>
    <w:p w14:paraId="312C10C0" w14:textId="482D7834" w:rsidR="00E33416" w:rsidRPr="00E33416" w:rsidRDefault="00E33416" w:rsidP="00E33416">
      <w:pPr>
        <w:pStyle w:val="Heading1"/>
      </w:pPr>
      <w:r w:rsidRPr="00E33416">
        <w:t>Financial Implications</w:t>
      </w:r>
    </w:p>
    <w:p w14:paraId="028B71EA" w14:textId="77777777" w:rsidR="00E33416" w:rsidRPr="00E33416" w:rsidRDefault="00E33416" w:rsidP="00E33416">
      <w:pPr>
        <w:pStyle w:val="bParagraphtext"/>
      </w:pPr>
      <w:r>
        <w:t xml:space="preserve">These are all included within the main body of </w:t>
      </w:r>
      <w:r w:rsidRPr="0021303C">
        <w:t>the report.</w:t>
      </w:r>
      <w:r w:rsidRPr="00F729DD">
        <w:rPr>
          <w:b/>
        </w:rPr>
        <w:t xml:space="preserve"> </w:t>
      </w:r>
    </w:p>
    <w:p w14:paraId="3A9DE185" w14:textId="77777777" w:rsidR="00E33416" w:rsidRPr="00E33416" w:rsidRDefault="00E33416" w:rsidP="00E33416">
      <w:pPr>
        <w:pStyle w:val="Heading1"/>
      </w:pPr>
      <w:r w:rsidRPr="00E33416">
        <w:t>Legal implications</w:t>
      </w:r>
    </w:p>
    <w:p w14:paraId="55E1780B" w14:textId="77777777" w:rsidR="00E33416" w:rsidRDefault="00E33416" w:rsidP="00E33416">
      <w:pPr>
        <w:pStyle w:val="bParagraphtext"/>
      </w:pPr>
      <w:r>
        <w:t>The Local Government Finance Act 1992 states that Billing Authorities are to calculate their Council Tax Base figures as at 30 November preceding the financial year to which the Tax Base applies. These figures must be notified to the major precepting authorities by the following 31 January.</w:t>
      </w:r>
    </w:p>
    <w:p w14:paraId="45C72ED7" w14:textId="4FC611B7" w:rsidR="00E33416" w:rsidRDefault="00E33416" w:rsidP="00E33416">
      <w:pPr>
        <w:pStyle w:val="bParagraphtext"/>
      </w:pPr>
      <w:r w:rsidRPr="00602ABE">
        <w:t>The method used to calculate the Tax Base is prescribed by the Local Authorities (Calculation of Council Tax Base)</w:t>
      </w:r>
      <w:r w:rsidR="00D83C28">
        <w:t xml:space="preserve"> (England)</w:t>
      </w:r>
      <w:r w:rsidRPr="00602ABE">
        <w:t xml:space="preserve"> Regulations 2012 (SI 2012/2914)</w:t>
      </w:r>
      <w:r>
        <w:t>.</w:t>
      </w:r>
    </w:p>
    <w:p w14:paraId="055CB6B7" w14:textId="2E52F547" w:rsidR="00101AD2" w:rsidRDefault="00101AD2">
      <w:pPr>
        <w:spacing w:after="0"/>
      </w:pPr>
      <w:r>
        <w:br w:type="page"/>
      </w:r>
    </w:p>
    <w:p w14:paraId="3F986ADA" w14:textId="77777777" w:rsidR="002329CF" w:rsidRPr="001356F1" w:rsidRDefault="002329CF" w:rsidP="004A6D2F"/>
    <w:tbl>
      <w:tblPr>
        <w:tblW w:w="0" w:type="auto"/>
        <w:tblInd w:w="108" w:type="dxa"/>
        <w:tblBorders>
          <w:top w:val="single" w:sz="4" w:space="0" w:color="C0504D"/>
          <w:left w:val="single" w:sz="4" w:space="0" w:color="C0504D"/>
          <w:bottom w:val="single" w:sz="4" w:space="0" w:color="C0504D"/>
          <w:right w:val="single" w:sz="4" w:space="0" w:color="C0504D"/>
        </w:tblBorders>
        <w:tblLook w:val="04A0" w:firstRow="1" w:lastRow="0" w:firstColumn="1" w:lastColumn="0" w:noHBand="0" w:noVBand="1"/>
      </w:tblPr>
      <w:tblGrid>
        <w:gridCol w:w="3969"/>
        <w:gridCol w:w="4962"/>
      </w:tblGrid>
      <w:tr w:rsidR="00DF093E" w:rsidRPr="001356F1" w14:paraId="1B1824B1" w14:textId="77777777" w:rsidTr="00A46E98">
        <w:trPr>
          <w:cantSplit/>
          <w:trHeight w:val="396"/>
        </w:trPr>
        <w:tc>
          <w:tcPr>
            <w:tcW w:w="3969" w:type="dxa"/>
            <w:tcBorders>
              <w:top w:val="single" w:sz="8" w:space="0" w:color="000000"/>
              <w:left w:val="single" w:sz="8" w:space="0" w:color="000000"/>
              <w:bottom w:val="single" w:sz="8" w:space="0" w:color="000000"/>
              <w:right w:val="nil"/>
            </w:tcBorders>
            <w:shd w:val="clear" w:color="auto" w:fill="auto"/>
          </w:tcPr>
          <w:p w14:paraId="50DA3E55" w14:textId="77777777" w:rsidR="00E87F7A" w:rsidRPr="001356F1" w:rsidRDefault="00E87F7A" w:rsidP="00A46E98">
            <w:pPr>
              <w:rPr>
                <w:b/>
              </w:rPr>
            </w:pPr>
            <w:r w:rsidRPr="001356F1">
              <w:rPr>
                <w:b/>
              </w:rPr>
              <w:t>Report author</w:t>
            </w:r>
          </w:p>
        </w:tc>
        <w:tc>
          <w:tcPr>
            <w:tcW w:w="4962" w:type="dxa"/>
            <w:tcBorders>
              <w:top w:val="single" w:sz="8" w:space="0" w:color="000000"/>
              <w:left w:val="nil"/>
              <w:bottom w:val="single" w:sz="8" w:space="0" w:color="000000"/>
              <w:right w:val="single" w:sz="8" w:space="0" w:color="000000"/>
            </w:tcBorders>
            <w:shd w:val="clear" w:color="auto" w:fill="auto"/>
          </w:tcPr>
          <w:p w14:paraId="5F961107" w14:textId="3B2ADD78" w:rsidR="00E87F7A" w:rsidRPr="001356F1" w:rsidRDefault="00105808" w:rsidP="00A46E98">
            <w:r>
              <w:t>Ryan Taylor</w:t>
            </w:r>
            <w:r w:rsidR="00EF0B98">
              <w:t xml:space="preserve"> ACCA</w:t>
            </w:r>
          </w:p>
        </w:tc>
      </w:tr>
      <w:tr w:rsidR="00DF093E" w:rsidRPr="001356F1" w14:paraId="386C8B5B" w14:textId="77777777" w:rsidTr="00A46E98">
        <w:trPr>
          <w:cantSplit/>
          <w:trHeight w:val="396"/>
        </w:trPr>
        <w:tc>
          <w:tcPr>
            <w:tcW w:w="3969" w:type="dxa"/>
            <w:tcBorders>
              <w:top w:val="single" w:sz="8" w:space="0" w:color="000000"/>
              <w:left w:val="single" w:sz="8" w:space="0" w:color="000000"/>
              <w:bottom w:val="nil"/>
              <w:right w:val="nil"/>
            </w:tcBorders>
            <w:shd w:val="clear" w:color="auto" w:fill="auto"/>
          </w:tcPr>
          <w:p w14:paraId="08446A67" w14:textId="77777777" w:rsidR="00E87F7A" w:rsidRPr="001356F1" w:rsidRDefault="00E87F7A" w:rsidP="00A46E98">
            <w:r w:rsidRPr="001356F1">
              <w:t>Job title</w:t>
            </w:r>
          </w:p>
        </w:tc>
        <w:tc>
          <w:tcPr>
            <w:tcW w:w="4962" w:type="dxa"/>
            <w:tcBorders>
              <w:top w:val="single" w:sz="8" w:space="0" w:color="000000"/>
              <w:left w:val="nil"/>
              <w:bottom w:val="nil"/>
              <w:right w:val="single" w:sz="8" w:space="0" w:color="000000"/>
            </w:tcBorders>
            <w:shd w:val="clear" w:color="auto" w:fill="auto"/>
          </w:tcPr>
          <w:p w14:paraId="43B2AB90" w14:textId="77777777" w:rsidR="00E87F7A" w:rsidRPr="001356F1" w:rsidRDefault="00E52920" w:rsidP="00105808">
            <w:r>
              <w:t xml:space="preserve">Technical </w:t>
            </w:r>
            <w:r w:rsidR="00105808">
              <w:t>Accountant</w:t>
            </w:r>
          </w:p>
        </w:tc>
      </w:tr>
      <w:tr w:rsidR="00DF093E" w:rsidRPr="001356F1" w14:paraId="1A8FF080" w14:textId="77777777" w:rsidTr="00A46E98">
        <w:trPr>
          <w:cantSplit/>
          <w:trHeight w:val="396"/>
        </w:trPr>
        <w:tc>
          <w:tcPr>
            <w:tcW w:w="3969" w:type="dxa"/>
            <w:tcBorders>
              <w:top w:val="nil"/>
              <w:left w:val="single" w:sz="8" w:space="0" w:color="000000"/>
              <w:bottom w:val="nil"/>
              <w:right w:val="nil"/>
            </w:tcBorders>
            <w:shd w:val="clear" w:color="auto" w:fill="auto"/>
          </w:tcPr>
          <w:p w14:paraId="372AE5F2" w14:textId="77777777" w:rsidR="00E87F7A" w:rsidRPr="001356F1" w:rsidRDefault="00E87F7A" w:rsidP="00A46E98">
            <w:r w:rsidRPr="001356F1">
              <w:t>Service area or department</w:t>
            </w:r>
          </w:p>
        </w:tc>
        <w:tc>
          <w:tcPr>
            <w:tcW w:w="4962" w:type="dxa"/>
            <w:tcBorders>
              <w:top w:val="nil"/>
              <w:left w:val="nil"/>
              <w:bottom w:val="nil"/>
              <w:right w:val="single" w:sz="8" w:space="0" w:color="000000"/>
            </w:tcBorders>
            <w:shd w:val="clear" w:color="auto" w:fill="auto"/>
          </w:tcPr>
          <w:p w14:paraId="03C43E1F" w14:textId="77777777" w:rsidR="00E87F7A" w:rsidRPr="001356F1" w:rsidRDefault="00E52920" w:rsidP="00A46E98">
            <w:r>
              <w:t>Financial Services</w:t>
            </w:r>
          </w:p>
        </w:tc>
      </w:tr>
      <w:tr w:rsidR="00DF093E" w:rsidRPr="001356F1" w14:paraId="406D7D59" w14:textId="77777777" w:rsidTr="00A46E98">
        <w:trPr>
          <w:cantSplit/>
          <w:trHeight w:val="396"/>
        </w:trPr>
        <w:tc>
          <w:tcPr>
            <w:tcW w:w="3969" w:type="dxa"/>
            <w:tcBorders>
              <w:top w:val="nil"/>
              <w:left w:val="single" w:sz="8" w:space="0" w:color="000000"/>
              <w:bottom w:val="nil"/>
              <w:right w:val="nil"/>
            </w:tcBorders>
            <w:shd w:val="clear" w:color="auto" w:fill="auto"/>
          </w:tcPr>
          <w:p w14:paraId="1F0A0BAF" w14:textId="77777777" w:rsidR="00E87F7A" w:rsidRPr="001356F1" w:rsidRDefault="00E87F7A" w:rsidP="00A46E98">
            <w:r w:rsidRPr="001356F1">
              <w:t xml:space="preserve">Telephone </w:t>
            </w:r>
          </w:p>
        </w:tc>
        <w:tc>
          <w:tcPr>
            <w:tcW w:w="4962" w:type="dxa"/>
            <w:tcBorders>
              <w:top w:val="nil"/>
              <w:left w:val="nil"/>
              <w:bottom w:val="nil"/>
              <w:right w:val="single" w:sz="8" w:space="0" w:color="000000"/>
            </w:tcBorders>
            <w:shd w:val="clear" w:color="auto" w:fill="auto"/>
          </w:tcPr>
          <w:p w14:paraId="5F6F005B" w14:textId="77777777" w:rsidR="00E87F7A" w:rsidRPr="001356F1" w:rsidRDefault="00E87F7A" w:rsidP="00105808">
            <w:r w:rsidRPr="001356F1">
              <w:t xml:space="preserve">01865 </w:t>
            </w:r>
            <w:r w:rsidR="002521DF">
              <w:t>252</w:t>
            </w:r>
            <w:r w:rsidR="00105808">
              <w:t>593</w:t>
            </w:r>
          </w:p>
        </w:tc>
      </w:tr>
      <w:tr w:rsidR="005570B5" w:rsidRPr="001356F1" w14:paraId="6F403D4E" w14:textId="77777777" w:rsidTr="00A46E98">
        <w:trPr>
          <w:cantSplit/>
          <w:trHeight w:val="396"/>
        </w:trPr>
        <w:tc>
          <w:tcPr>
            <w:tcW w:w="3969" w:type="dxa"/>
            <w:tcBorders>
              <w:top w:val="nil"/>
              <w:left w:val="single" w:sz="8" w:space="0" w:color="000000"/>
              <w:bottom w:val="single" w:sz="8" w:space="0" w:color="000000"/>
              <w:right w:val="nil"/>
            </w:tcBorders>
            <w:shd w:val="clear" w:color="auto" w:fill="auto"/>
          </w:tcPr>
          <w:p w14:paraId="436E9473" w14:textId="77777777" w:rsidR="00E87F7A" w:rsidRPr="001356F1" w:rsidRDefault="00E87F7A" w:rsidP="00A46E98">
            <w:r w:rsidRPr="001356F1">
              <w:t xml:space="preserve">e-mail </w:t>
            </w:r>
          </w:p>
        </w:tc>
        <w:tc>
          <w:tcPr>
            <w:tcW w:w="4962" w:type="dxa"/>
            <w:tcBorders>
              <w:top w:val="nil"/>
              <w:left w:val="nil"/>
              <w:bottom w:val="single" w:sz="8" w:space="0" w:color="000000"/>
              <w:right w:val="single" w:sz="8" w:space="0" w:color="000000"/>
            </w:tcBorders>
            <w:shd w:val="clear" w:color="auto" w:fill="auto"/>
          </w:tcPr>
          <w:p w14:paraId="0441E6CF" w14:textId="77777777" w:rsidR="00E87F7A" w:rsidRPr="00E52920" w:rsidRDefault="00E52920" w:rsidP="00105808">
            <w:pPr>
              <w:rPr>
                <w:rStyle w:val="Hyperlink"/>
                <w:color w:val="000000"/>
                <w:sz w:val="20"/>
                <w:u w:val="none"/>
              </w:rPr>
            </w:pPr>
            <w:r>
              <w:t xml:space="preserve">Email: </w:t>
            </w:r>
            <w:hyperlink r:id="rId16" w:history="1">
              <w:r w:rsidR="00105808" w:rsidRPr="00A80DDF">
                <w:rPr>
                  <w:rStyle w:val="Hyperlink"/>
                </w:rPr>
                <w:t>rtaylor@oxford.gov.uk</w:t>
              </w:r>
            </w:hyperlink>
            <w:r>
              <w:t xml:space="preserve"> </w:t>
            </w:r>
          </w:p>
        </w:tc>
      </w:tr>
    </w:tbl>
    <w:p w14:paraId="0E7CDCB0" w14:textId="77777777" w:rsidR="00433B96" w:rsidRPr="001356F1" w:rsidRDefault="00433B96" w:rsidP="004A6D2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8364"/>
      </w:tblGrid>
      <w:tr w:rsidR="00DF093E" w:rsidRPr="001356F1" w14:paraId="79FC7B80" w14:textId="77777777" w:rsidTr="00A46E98">
        <w:tc>
          <w:tcPr>
            <w:tcW w:w="8931" w:type="dxa"/>
            <w:gridSpan w:val="2"/>
            <w:tcBorders>
              <w:top w:val="single" w:sz="4" w:space="0" w:color="auto"/>
              <w:left w:val="single" w:sz="4" w:space="0" w:color="auto"/>
              <w:bottom w:val="single" w:sz="8" w:space="0" w:color="000000"/>
              <w:right w:val="single" w:sz="4" w:space="0" w:color="auto"/>
            </w:tcBorders>
            <w:shd w:val="clear" w:color="auto" w:fill="auto"/>
          </w:tcPr>
          <w:p w14:paraId="672B0F72" w14:textId="77777777" w:rsidR="0093067A" w:rsidRPr="00ED4ED1" w:rsidRDefault="00182B81" w:rsidP="00166EE5">
            <w:r w:rsidRPr="001356F1">
              <w:rPr>
                <w:rStyle w:val="Firstpagetablebold"/>
              </w:rPr>
              <w:t xml:space="preserve">Background Papers: </w:t>
            </w:r>
            <w:r w:rsidR="00ED4ED1">
              <w:rPr>
                <w:rStyle w:val="Firstpagetablebold"/>
                <w:b w:val="0"/>
              </w:rPr>
              <w:t>None</w:t>
            </w:r>
          </w:p>
        </w:tc>
      </w:tr>
      <w:tr w:rsidR="00DF093E" w:rsidRPr="001356F1" w14:paraId="43E96313" w14:textId="77777777" w:rsidTr="00A46E98">
        <w:tc>
          <w:tcPr>
            <w:tcW w:w="567" w:type="dxa"/>
            <w:tcBorders>
              <w:top w:val="single" w:sz="8" w:space="0" w:color="000000"/>
              <w:left w:val="single" w:sz="8" w:space="0" w:color="000000"/>
              <w:bottom w:val="nil"/>
              <w:right w:val="nil"/>
            </w:tcBorders>
            <w:shd w:val="clear" w:color="auto" w:fill="auto"/>
          </w:tcPr>
          <w:p w14:paraId="661ADDB3" w14:textId="77777777" w:rsidR="0093067A" w:rsidRPr="001356F1" w:rsidRDefault="00182B81" w:rsidP="00F41AC1">
            <w:r w:rsidRPr="001356F1">
              <w:t>1</w:t>
            </w:r>
          </w:p>
        </w:tc>
        <w:tc>
          <w:tcPr>
            <w:tcW w:w="8364" w:type="dxa"/>
            <w:tcBorders>
              <w:top w:val="single" w:sz="8" w:space="0" w:color="000000"/>
              <w:left w:val="nil"/>
              <w:bottom w:val="nil"/>
              <w:right w:val="single" w:sz="8" w:space="0" w:color="000000"/>
            </w:tcBorders>
          </w:tcPr>
          <w:p w14:paraId="2FB81424" w14:textId="77777777" w:rsidR="0093067A" w:rsidRPr="00ED4ED1" w:rsidRDefault="0093067A" w:rsidP="005D0621">
            <w:pPr>
              <w:rPr>
                <w:bCs/>
              </w:rPr>
            </w:pPr>
          </w:p>
        </w:tc>
      </w:tr>
      <w:tr w:rsidR="00DF093E" w:rsidRPr="001356F1" w14:paraId="0A043C05" w14:textId="77777777" w:rsidTr="00A46E98">
        <w:tc>
          <w:tcPr>
            <w:tcW w:w="567" w:type="dxa"/>
            <w:tcBorders>
              <w:top w:val="nil"/>
              <w:left w:val="single" w:sz="8" w:space="0" w:color="000000"/>
              <w:bottom w:val="nil"/>
              <w:right w:val="nil"/>
            </w:tcBorders>
            <w:shd w:val="clear" w:color="auto" w:fill="auto"/>
          </w:tcPr>
          <w:p w14:paraId="6B8A9A01" w14:textId="77777777" w:rsidR="0093067A" w:rsidRPr="001356F1" w:rsidRDefault="00182B81" w:rsidP="00F41AC1">
            <w:r w:rsidRPr="001356F1">
              <w:t>2</w:t>
            </w:r>
          </w:p>
        </w:tc>
        <w:tc>
          <w:tcPr>
            <w:tcW w:w="8364" w:type="dxa"/>
            <w:tcBorders>
              <w:top w:val="nil"/>
              <w:left w:val="nil"/>
              <w:bottom w:val="nil"/>
              <w:right w:val="single" w:sz="8" w:space="0" w:color="000000"/>
            </w:tcBorders>
          </w:tcPr>
          <w:p w14:paraId="3F430ADB" w14:textId="77777777" w:rsidR="0093067A" w:rsidRPr="001356F1" w:rsidRDefault="0093067A" w:rsidP="00F41AC1"/>
        </w:tc>
      </w:tr>
      <w:tr w:rsidR="00DF093E" w:rsidRPr="001356F1" w14:paraId="7AA3BF8C" w14:textId="77777777" w:rsidTr="00A46E98">
        <w:tc>
          <w:tcPr>
            <w:tcW w:w="567" w:type="dxa"/>
            <w:tcBorders>
              <w:top w:val="nil"/>
              <w:left w:val="single" w:sz="8" w:space="0" w:color="000000"/>
              <w:bottom w:val="nil"/>
              <w:right w:val="nil"/>
            </w:tcBorders>
            <w:shd w:val="clear" w:color="auto" w:fill="auto"/>
          </w:tcPr>
          <w:p w14:paraId="5F7F31BB" w14:textId="77777777" w:rsidR="0093067A" w:rsidRPr="001356F1" w:rsidRDefault="00182B81" w:rsidP="00F41AC1">
            <w:r w:rsidRPr="001356F1">
              <w:t>3</w:t>
            </w:r>
          </w:p>
        </w:tc>
        <w:tc>
          <w:tcPr>
            <w:tcW w:w="8364" w:type="dxa"/>
            <w:tcBorders>
              <w:top w:val="nil"/>
              <w:left w:val="nil"/>
              <w:bottom w:val="nil"/>
              <w:right w:val="single" w:sz="8" w:space="0" w:color="000000"/>
            </w:tcBorders>
          </w:tcPr>
          <w:p w14:paraId="2DA3A954" w14:textId="77777777" w:rsidR="0093067A" w:rsidRPr="001356F1" w:rsidRDefault="0093067A" w:rsidP="00F41AC1"/>
        </w:tc>
      </w:tr>
      <w:tr w:rsidR="005570B5" w:rsidRPr="00A46E98" w14:paraId="18543352" w14:textId="77777777" w:rsidTr="00A46E98">
        <w:tc>
          <w:tcPr>
            <w:tcW w:w="567" w:type="dxa"/>
            <w:tcBorders>
              <w:top w:val="nil"/>
              <w:left w:val="single" w:sz="8" w:space="0" w:color="000000"/>
              <w:bottom w:val="single" w:sz="8" w:space="0" w:color="000000"/>
              <w:right w:val="nil"/>
            </w:tcBorders>
            <w:shd w:val="clear" w:color="auto" w:fill="auto"/>
          </w:tcPr>
          <w:p w14:paraId="76F85B5C" w14:textId="77777777" w:rsidR="0093067A" w:rsidRPr="00A46E98" w:rsidRDefault="00182B81" w:rsidP="00F41AC1">
            <w:r w:rsidRPr="00A46E98">
              <w:t>4</w:t>
            </w:r>
          </w:p>
        </w:tc>
        <w:tc>
          <w:tcPr>
            <w:tcW w:w="8364" w:type="dxa"/>
            <w:tcBorders>
              <w:top w:val="nil"/>
              <w:left w:val="nil"/>
              <w:bottom w:val="single" w:sz="8" w:space="0" w:color="000000"/>
              <w:right w:val="single" w:sz="8" w:space="0" w:color="000000"/>
            </w:tcBorders>
          </w:tcPr>
          <w:p w14:paraId="30D5E237" w14:textId="77777777" w:rsidR="0093067A" w:rsidRPr="00A46E98" w:rsidRDefault="0093067A" w:rsidP="00F41AC1"/>
        </w:tc>
      </w:tr>
    </w:tbl>
    <w:p w14:paraId="6EF0C9FE" w14:textId="77777777" w:rsidR="00B43A65" w:rsidRPr="00B43A65" w:rsidRDefault="00B43A65" w:rsidP="00D6683E">
      <w:pPr>
        <w:rPr>
          <w:bCs/>
        </w:rPr>
      </w:pPr>
    </w:p>
    <w:p w14:paraId="40CA88D5" w14:textId="71F213DC" w:rsidR="00D6683E" w:rsidRPr="00821AAF" w:rsidRDefault="0054712D" w:rsidP="00D6683E">
      <w:pPr>
        <w:rPr>
          <w:b/>
        </w:rPr>
      </w:pPr>
      <w:r w:rsidRPr="0054712D">
        <w:rPr>
          <w:b/>
        </w:rPr>
        <w:t xml:space="preserve">Please note in the table </w:t>
      </w:r>
      <w:r w:rsidR="00C85B4E">
        <w:rPr>
          <w:b/>
        </w:rPr>
        <w:t xml:space="preserve">below </w:t>
      </w:r>
      <w:r w:rsidRPr="0054712D">
        <w:rPr>
          <w:b/>
        </w:rPr>
        <w:t xml:space="preserve">the version number of your report that was </w:t>
      </w:r>
      <w:r w:rsidR="00C85B4E">
        <w:rPr>
          <w:b/>
        </w:rPr>
        <w:t xml:space="preserve">finally </w:t>
      </w:r>
      <w:r w:rsidRPr="0054712D">
        <w:rPr>
          <w:b/>
        </w:rPr>
        <w:t>cleared</w:t>
      </w:r>
      <w:r w:rsidR="00C85B4E">
        <w:rPr>
          <w:b/>
        </w:rPr>
        <w:t xml:space="preserve"> </w:t>
      </w:r>
      <w:r w:rsidR="00A44635">
        <w:rPr>
          <w:b/>
        </w:rPr>
        <w:t>at eac</w:t>
      </w:r>
      <w:r w:rsidRPr="0054712D">
        <w:rPr>
          <w:b/>
        </w:rPr>
        <w:t>h stage</w:t>
      </w:r>
      <w:r w:rsidR="00A44635">
        <w:rPr>
          <w:b/>
        </w:rPr>
        <w:t>. Different committees and reports require different clearance stages – please seek advice.</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2"/>
        <w:gridCol w:w="2551"/>
      </w:tblGrid>
      <w:tr w:rsidR="00D6683E" w14:paraId="3DD242F0" w14:textId="77777777" w:rsidTr="00B7799F">
        <w:trPr>
          <w:trHeight w:val="409"/>
        </w:trPr>
        <w:tc>
          <w:tcPr>
            <w:tcW w:w="5342" w:type="dxa"/>
            <w:shd w:val="clear" w:color="auto" w:fill="auto"/>
          </w:tcPr>
          <w:p w14:paraId="34F02C78" w14:textId="77777777" w:rsidR="00D6683E" w:rsidRPr="00E12C99" w:rsidRDefault="00D6683E" w:rsidP="00B7799F">
            <w:pPr>
              <w:rPr>
                <w:b/>
              </w:rPr>
            </w:pPr>
            <w:r w:rsidRPr="00E12C99">
              <w:rPr>
                <w:b/>
              </w:rPr>
              <w:t>Report Stage</w:t>
            </w:r>
          </w:p>
        </w:tc>
        <w:tc>
          <w:tcPr>
            <w:tcW w:w="2551" w:type="dxa"/>
            <w:shd w:val="clear" w:color="auto" w:fill="auto"/>
          </w:tcPr>
          <w:p w14:paraId="7CE6D04E" w14:textId="77777777" w:rsidR="00D6683E" w:rsidRPr="0080749A" w:rsidRDefault="00D6683E" w:rsidP="00B7799F">
            <w:pPr>
              <w:rPr>
                <w:b/>
              </w:rPr>
            </w:pPr>
            <w:r w:rsidRPr="00E12C99">
              <w:rPr>
                <w:b/>
              </w:rPr>
              <w:t>Version</w:t>
            </w:r>
            <w:r>
              <w:rPr>
                <w:b/>
              </w:rPr>
              <w:t xml:space="preserve"> </w:t>
            </w:r>
            <w:r w:rsidRPr="00E12C99">
              <w:rPr>
                <w:b/>
              </w:rPr>
              <w:t>Number</w:t>
            </w:r>
          </w:p>
        </w:tc>
      </w:tr>
      <w:tr w:rsidR="00D6683E" w14:paraId="4E99C15F" w14:textId="77777777" w:rsidTr="00B7799F">
        <w:tc>
          <w:tcPr>
            <w:tcW w:w="5342" w:type="dxa"/>
            <w:shd w:val="clear" w:color="auto" w:fill="auto"/>
          </w:tcPr>
          <w:p w14:paraId="465EBBBE" w14:textId="77777777" w:rsidR="00D6683E" w:rsidRDefault="00D6683E" w:rsidP="00B7799F">
            <w:r w:rsidRPr="00E12C99">
              <w:rPr>
                <w:b/>
              </w:rPr>
              <w:t>First Draft:</w:t>
            </w:r>
            <w:r>
              <w:t xml:space="preserve"> </w:t>
            </w:r>
          </w:p>
          <w:p w14:paraId="3B553799" w14:textId="77777777" w:rsidR="00D6683E" w:rsidRDefault="00D6683E" w:rsidP="00B7799F">
            <w:r w:rsidRPr="00E12C99">
              <w:rPr>
                <w:i/>
              </w:rPr>
              <w:t>Commissioned and cleared by Director</w:t>
            </w:r>
          </w:p>
        </w:tc>
        <w:tc>
          <w:tcPr>
            <w:tcW w:w="2551" w:type="dxa"/>
            <w:shd w:val="clear" w:color="auto" w:fill="auto"/>
          </w:tcPr>
          <w:p w14:paraId="4F42BEAD" w14:textId="77777777" w:rsidR="00D6683E" w:rsidRDefault="00D6683E" w:rsidP="00B7799F"/>
        </w:tc>
      </w:tr>
      <w:tr w:rsidR="00D6683E" w14:paraId="3265F169" w14:textId="77777777" w:rsidTr="00B7799F">
        <w:tc>
          <w:tcPr>
            <w:tcW w:w="5342" w:type="dxa"/>
            <w:shd w:val="clear" w:color="auto" w:fill="auto"/>
          </w:tcPr>
          <w:p w14:paraId="7B9C4122" w14:textId="77777777" w:rsidR="00D6683E" w:rsidRPr="00E12C99" w:rsidRDefault="00D6683E" w:rsidP="00B7799F">
            <w:pPr>
              <w:rPr>
                <w:b/>
              </w:rPr>
            </w:pPr>
            <w:r w:rsidRPr="00E12C99">
              <w:rPr>
                <w:b/>
              </w:rPr>
              <w:t>Second Draft:</w:t>
            </w:r>
          </w:p>
          <w:p w14:paraId="347BBD92" w14:textId="77777777" w:rsidR="00D6683E" w:rsidRPr="00E12C99" w:rsidRDefault="00D6683E" w:rsidP="00B7799F">
            <w:pPr>
              <w:rPr>
                <w:i/>
              </w:rPr>
            </w:pPr>
            <w:r w:rsidRPr="00E12C99">
              <w:rPr>
                <w:i/>
              </w:rPr>
              <w:t>Cleared by Legal and Finance</w:t>
            </w:r>
            <w:r w:rsidR="00A44635">
              <w:rPr>
                <w:i/>
              </w:rPr>
              <w:t xml:space="preserve"> - mandatory</w:t>
            </w:r>
          </w:p>
        </w:tc>
        <w:tc>
          <w:tcPr>
            <w:tcW w:w="2551" w:type="dxa"/>
            <w:shd w:val="clear" w:color="auto" w:fill="auto"/>
          </w:tcPr>
          <w:p w14:paraId="0A246C93" w14:textId="627C8DA3" w:rsidR="00D6683E" w:rsidRDefault="00D6683E" w:rsidP="00B7799F"/>
        </w:tc>
      </w:tr>
      <w:tr w:rsidR="00D6683E" w14:paraId="4CA9F974" w14:textId="77777777" w:rsidTr="00B7799F">
        <w:tc>
          <w:tcPr>
            <w:tcW w:w="5342" w:type="dxa"/>
            <w:shd w:val="clear" w:color="auto" w:fill="auto"/>
          </w:tcPr>
          <w:p w14:paraId="0BEB10DB" w14:textId="77777777" w:rsidR="00D6683E" w:rsidRPr="00E12C99" w:rsidRDefault="00D6683E" w:rsidP="00B7799F">
            <w:pPr>
              <w:rPr>
                <w:b/>
              </w:rPr>
            </w:pPr>
            <w:r w:rsidRPr="00E12C99">
              <w:rPr>
                <w:b/>
              </w:rPr>
              <w:t>Organisational Draft:</w:t>
            </w:r>
          </w:p>
          <w:p w14:paraId="53F24E84" w14:textId="77777777" w:rsidR="00D6683E" w:rsidRPr="00E12C99" w:rsidRDefault="00D6683E" w:rsidP="00B7799F">
            <w:pPr>
              <w:rPr>
                <w:i/>
              </w:rPr>
            </w:pPr>
            <w:r w:rsidRPr="00E12C99">
              <w:rPr>
                <w:i/>
              </w:rPr>
              <w:t>Cleared by the Chief Executive</w:t>
            </w:r>
          </w:p>
        </w:tc>
        <w:tc>
          <w:tcPr>
            <w:tcW w:w="2551" w:type="dxa"/>
            <w:shd w:val="clear" w:color="auto" w:fill="auto"/>
          </w:tcPr>
          <w:p w14:paraId="11BAF732" w14:textId="77777777" w:rsidR="00D6683E" w:rsidRDefault="00D6683E" w:rsidP="00B7799F"/>
        </w:tc>
      </w:tr>
      <w:tr w:rsidR="00D6683E" w14:paraId="783B29D5" w14:textId="77777777" w:rsidTr="00B7799F">
        <w:tc>
          <w:tcPr>
            <w:tcW w:w="5342" w:type="dxa"/>
            <w:shd w:val="clear" w:color="auto" w:fill="auto"/>
          </w:tcPr>
          <w:p w14:paraId="2FD3AB23" w14:textId="77777777" w:rsidR="00D6683E" w:rsidRPr="00E12C99" w:rsidRDefault="00D6683E" w:rsidP="00B7799F">
            <w:pPr>
              <w:rPr>
                <w:b/>
              </w:rPr>
            </w:pPr>
            <w:r w:rsidRPr="00E12C99">
              <w:rPr>
                <w:b/>
              </w:rPr>
              <w:t>Final Draft:</w:t>
            </w:r>
          </w:p>
          <w:p w14:paraId="665928F1" w14:textId="77777777" w:rsidR="00D6683E" w:rsidRDefault="00D6683E" w:rsidP="00D6683E">
            <w:pPr>
              <w:rPr>
                <w:i/>
              </w:rPr>
            </w:pPr>
            <w:r>
              <w:rPr>
                <w:i/>
              </w:rPr>
              <w:t xml:space="preserve">Sent to </w:t>
            </w:r>
            <w:r w:rsidRPr="00E12C99">
              <w:rPr>
                <w:i/>
              </w:rPr>
              <w:t>the Board Member</w:t>
            </w:r>
            <w:r>
              <w:rPr>
                <w:i/>
              </w:rPr>
              <w:t xml:space="preserve"> for informatio</w:t>
            </w:r>
            <w:r w:rsidR="00A44635">
              <w:rPr>
                <w:i/>
              </w:rPr>
              <w:t>n</w:t>
            </w:r>
          </w:p>
          <w:p w14:paraId="05848D7B" w14:textId="77777777" w:rsidR="00A44635" w:rsidRPr="00E12C99" w:rsidRDefault="00A44635" w:rsidP="00D6683E">
            <w:pPr>
              <w:rPr>
                <w:i/>
              </w:rPr>
            </w:pPr>
            <w:r>
              <w:rPr>
                <w:i/>
              </w:rPr>
              <w:t>Sent to the Board Member for clearance</w:t>
            </w:r>
          </w:p>
        </w:tc>
        <w:tc>
          <w:tcPr>
            <w:tcW w:w="2551" w:type="dxa"/>
            <w:shd w:val="clear" w:color="auto" w:fill="auto"/>
          </w:tcPr>
          <w:p w14:paraId="493458B0" w14:textId="77777777" w:rsidR="00D6683E" w:rsidRDefault="00D6683E" w:rsidP="00D6683E"/>
        </w:tc>
      </w:tr>
      <w:tr w:rsidR="00D6683E" w14:paraId="1F75D60D" w14:textId="77777777" w:rsidTr="00B7799F">
        <w:tc>
          <w:tcPr>
            <w:tcW w:w="5342" w:type="dxa"/>
            <w:shd w:val="clear" w:color="auto" w:fill="auto"/>
          </w:tcPr>
          <w:p w14:paraId="10C0BEAD" w14:textId="77777777" w:rsidR="00D6683E" w:rsidRPr="00E12C99" w:rsidRDefault="00D6683E" w:rsidP="00B7799F">
            <w:pPr>
              <w:rPr>
                <w:b/>
              </w:rPr>
            </w:pPr>
            <w:r w:rsidRPr="00E12C99">
              <w:rPr>
                <w:b/>
              </w:rPr>
              <w:t>Final Report:</w:t>
            </w:r>
          </w:p>
          <w:p w14:paraId="4D5FB4B6" w14:textId="77777777" w:rsidR="00D6683E" w:rsidRPr="00E12C99" w:rsidRDefault="00D6683E" w:rsidP="00D6683E">
            <w:pPr>
              <w:rPr>
                <w:i/>
              </w:rPr>
            </w:pPr>
            <w:r>
              <w:rPr>
                <w:i/>
              </w:rPr>
              <w:t>Sent</w:t>
            </w:r>
            <w:r w:rsidRPr="00E12C99">
              <w:rPr>
                <w:i/>
              </w:rPr>
              <w:t xml:space="preserve"> </w:t>
            </w:r>
            <w:r>
              <w:rPr>
                <w:i/>
              </w:rPr>
              <w:t>to</w:t>
            </w:r>
            <w:r w:rsidRPr="00E12C99">
              <w:rPr>
                <w:i/>
              </w:rPr>
              <w:t xml:space="preserve"> Labour Group</w:t>
            </w:r>
            <w:r>
              <w:rPr>
                <w:i/>
              </w:rPr>
              <w:t xml:space="preserve"> if required</w:t>
            </w:r>
          </w:p>
        </w:tc>
        <w:tc>
          <w:tcPr>
            <w:tcW w:w="2551" w:type="dxa"/>
            <w:shd w:val="clear" w:color="auto" w:fill="auto"/>
          </w:tcPr>
          <w:p w14:paraId="6BA476FE" w14:textId="77777777" w:rsidR="00D6683E" w:rsidRDefault="00D6683E" w:rsidP="00B7799F"/>
        </w:tc>
      </w:tr>
      <w:tr w:rsidR="00D6683E" w14:paraId="51492449" w14:textId="77777777" w:rsidTr="00B7799F">
        <w:tc>
          <w:tcPr>
            <w:tcW w:w="5342" w:type="dxa"/>
            <w:shd w:val="clear" w:color="auto" w:fill="auto"/>
          </w:tcPr>
          <w:p w14:paraId="06A17A3B" w14:textId="77777777" w:rsidR="00D6683E" w:rsidRDefault="00D6683E" w:rsidP="00B7799F">
            <w:pPr>
              <w:rPr>
                <w:b/>
              </w:rPr>
            </w:pPr>
            <w:r w:rsidRPr="00E12C99">
              <w:rPr>
                <w:b/>
              </w:rPr>
              <w:t>Final Report</w:t>
            </w:r>
            <w:r>
              <w:rPr>
                <w:b/>
              </w:rPr>
              <w:t xml:space="preserve"> </w:t>
            </w:r>
            <w:r w:rsidR="00A44635">
              <w:rPr>
                <w:b/>
              </w:rPr>
              <w:t xml:space="preserve">sent </w:t>
            </w:r>
            <w:r>
              <w:rPr>
                <w:b/>
              </w:rPr>
              <w:t>to Committee Services</w:t>
            </w:r>
            <w:r w:rsidRPr="00E12C99">
              <w:rPr>
                <w:b/>
              </w:rPr>
              <w:t>:</w:t>
            </w:r>
          </w:p>
          <w:p w14:paraId="7BDAE42D" w14:textId="77777777" w:rsidR="00A44635" w:rsidRPr="00A44635" w:rsidRDefault="00A44635" w:rsidP="00B7799F">
            <w:pPr>
              <w:rPr>
                <w:b/>
                <w:i/>
              </w:rPr>
            </w:pPr>
            <w:r>
              <w:rPr>
                <w:b/>
                <w:i/>
              </w:rPr>
              <w:t>by</w:t>
            </w:r>
            <w:r w:rsidRPr="00A44635">
              <w:rPr>
                <w:b/>
                <w:i/>
              </w:rPr>
              <w:t xml:space="preserve"> deadline for reports</w:t>
            </w:r>
            <w:r>
              <w:rPr>
                <w:b/>
                <w:i/>
              </w:rPr>
              <w:t>- mandatory</w:t>
            </w:r>
          </w:p>
        </w:tc>
        <w:tc>
          <w:tcPr>
            <w:tcW w:w="2551" w:type="dxa"/>
            <w:shd w:val="clear" w:color="auto" w:fill="auto"/>
          </w:tcPr>
          <w:p w14:paraId="17707BC6" w14:textId="77777777" w:rsidR="00D6683E" w:rsidRDefault="00D6683E" w:rsidP="00B7799F"/>
        </w:tc>
      </w:tr>
    </w:tbl>
    <w:p w14:paraId="7E01D7B0" w14:textId="77777777" w:rsidR="00821AAF" w:rsidRPr="009E51FC" w:rsidRDefault="00821AAF" w:rsidP="0093067A"/>
    <w:sectPr w:rsidR="00821AAF" w:rsidRPr="009E51FC" w:rsidSect="00B558E1">
      <w:footerReference w:type="even" r:id="rId17"/>
      <w:headerReference w:type="first" r:id="rId18"/>
      <w:footerReference w:type="first" r:id="rId19"/>
      <w:pgSz w:w="11906" w:h="16838" w:code="9"/>
      <w:pgMar w:top="1304" w:right="1304" w:bottom="1304" w:left="1304" w:header="113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00436" w14:textId="77777777" w:rsidR="00172541" w:rsidRDefault="00172541" w:rsidP="004A6D2F">
      <w:r>
        <w:separator/>
      </w:r>
    </w:p>
  </w:endnote>
  <w:endnote w:type="continuationSeparator" w:id="0">
    <w:p w14:paraId="30448CBB" w14:textId="77777777" w:rsidR="00172541" w:rsidRDefault="00172541" w:rsidP="004A6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3DC73" w14:textId="77777777" w:rsidR="00364FAD" w:rsidRDefault="00364FAD" w:rsidP="004A6D2F">
    <w:pPr>
      <w:pStyle w:val="Footer"/>
    </w:pPr>
    <w:r>
      <w:t>Do not use a footer or page numbers.</w:t>
    </w:r>
  </w:p>
  <w:p w14:paraId="29CD1DCB" w14:textId="77777777" w:rsidR="00364FAD" w:rsidRDefault="00364FAD" w:rsidP="004A6D2F">
    <w:pPr>
      <w:pStyle w:val="Footer"/>
    </w:pPr>
  </w:p>
  <w:p w14:paraId="3CFCAB85" w14:textId="77777777" w:rsidR="00364FAD" w:rsidRDefault="00364FAD" w:rsidP="004A6D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D9878" w14:textId="77777777" w:rsidR="00A701B5" w:rsidRDefault="00745BF0" w:rsidP="004A6D2F">
    <w:pPr>
      <w:pStyle w:val="Footer"/>
    </w:pP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CD002" w14:textId="77777777" w:rsidR="00172541" w:rsidRDefault="00172541" w:rsidP="004A6D2F">
      <w:r>
        <w:separator/>
      </w:r>
    </w:p>
  </w:footnote>
  <w:footnote w:type="continuationSeparator" w:id="0">
    <w:p w14:paraId="69D6B4B1" w14:textId="77777777" w:rsidR="00172541" w:rsidRDefault="00172541" w:rsidP="004A6D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7E9D1" w14:textId="77777777" w:rsidR="00D5547E" w:rsidRDefault="00DD2FED" w:rsidP="00D5547E">
    <w:pPr>
      <w:pStyle w:val="Header"/>
      <w:jc w:val="right"/>
    </w:pPr>
    <w:r>
      <w:rPr>
        <w:noProof/>
      </w:rPr>
      <w:drawing>
        <wp:inline distT="0" distB="0" distL="0" distR="0" wp14:anchorId="76C549B2" wp14:editId="09A92761">
          <wp:extent cx="843280" cy="1117600"/>
          <wp:effectExtent l="0" t="0" r="0" b="6350"/>
          <wp:docPr id="1" name="Picture 1" descr="Oxford City Council Logo" title="Oxford Ci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c_bl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3280" cy="1117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FDEC5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570EF9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B46E4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B90A31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B34764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F06035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AC2530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4CAEA8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488150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7E4314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8C30BB"/>
    <w:multiLevelType w:val="multilevel"/>
    <w:tmpl w:val="E67CE66C"/>
    <w:styleLink w:val="StyleNumberedLeft0cmHanging075cm"/>
    <w:lvl w:ilvl="0">
      <w:start w:val="1"/>
      <w:numFmt w:val="decimal"/>
      <w:pStyle w:val="ListParagraph"/>
      <w:lvlText w:val="%1."/>
      <w:lvlJc w:val="left"/>
      <w:pPr>
        <w:ind w:left="360" w:hanging="360"/>
      </w:pPr>
      <w:rPr>
        <w:rFonts w:ascii="Arial" w:hAnsi="Arial"/>
        <w:color w:val="000000"/>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03CF5C54"/>
    <w:multiLevelType w:val="multilevel"/>
    <w:tmpl w:val="43D6D2FA"/>
    <w:styleLink w:val="StyleBulletedSymbolsymbolLeft063cmHanging063cm"/>
    <w:lvl w:ilvl="0">
      <w:start w:val="1"/>
      <w:numFmt w:val="bullet"/>
      <w:lvlText w:val=""/>
      <w:lvlJc w:val="left"/>
      <w:pPr>
        <w:ind w:left="720" w:hanging="360"/>
      </w:pPr>
      <w:rPr>
        <w:rFonts w:ascii="Symbol" w:hAnsi="Symbol"/>
        <w:color w:val="00000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49C05EF"/>
    <w:multiLevelType w:val="multilevel"/>
    <w:tmpl w:val="43D6D2FA"/>
    <w:numStyleLink w:val="StyleBulletedSymbolsymbolLeft063cmHanging063cm"/>
  </w:abstractNum>
  <w:abstractNum w:abstractNumId="13" w15:restartNumberingAfterBreak="0">
    <w:nsid w:val="06E07F6E"/>
    <w:multiLevelType w:val="hybridMultilevel"/>
    <w:tmpl w:val="338E1ECE"/>
    <w:lvl w:ilvl="0" w:tplc="0809000F">
      <w:start w:val="1"/>
      <w:numFmt w:val="decimal"/>
      <w:lvlText w:val="%1."/>
      <w:lvlJc w:val="left"/>
      <w:pPr>
        <w:ind w:left="349" w:hanging="360"/>
      </w:pPr>
      <w:rPr>
        <w:rFonts w:hint="default"/>
      </w:rPr>
    </w:lvl>
    <w:lvl w:ilvl="1" w:tplc="08090019" w:tentative="1">
      <w:start w:val="1"/>
      <w:numFmt w:val="lowerLetter"/>
      <w:lvlText w:val="%2."/>
      <w:lvlJc w:val="left"/>
      <w:pPr>
        <w:ind w:left="1069" w:hanging="360"/>
      </w:pPr>
    </w:lvl>
    <w:lvl w:ilvl="2" w:tplc="0809001B" w:tentative="1">
      <w:start w:val="1"/>
      <w:numFmt w:val="lowerRoman"/>
      <w:lvlText w:val="%3."/>
      <w:lvlJc w:val="right"/>
      <w:pPr>
        <w:ind w:left="1789" w:hanging="180"/>
      </w:pPr>
    </w:lvl>
    <w:lvl w:ilvl="3" w:tplc="0809000F" w:tentative="1">
      <w:start w:val="1"/>
      <w:numFmt w:val="decimal"/>
      <w:lvlText w:val="%4."/>
      <w:lvlJc w:val="left"/>
      <w:pPr>
        <w:ind w:left="2509" w:hanging="360"/>
      </w:pPr>
    </w:lvl>
    <w:lvl w:ilvl="4" w:tplc="08090019" w:tentative="1">
      <w:start w:val="1"/>
      <w:numFmt w:val="lowerLetter"/>
      <w:lvlText w:val="%5."/>
      <w:lvlJc w:val="left"/>
      <w:pPr>
        <w:ind w:left="3229" w:hanging="360"/>
      </w:pPr>
    </w:lvl>
    <w:lvl w:ilvl="5" w:tplc="0809001B" w:tentative="1">
      <w:start w:val="1"/>
      <w:numFmt w:val="lowerRoman"/>
      <w:lvlText w:val="%6."/>
      <w:lvlJc w:val="right"/>
      <w:pPr>
        <w:ind w:left="3949" w:hanging="180"/>
      </w:pPr>
    </w:lvl>
    <w:lvl w:ilvl="6" w:tplc="0809000F" w:tentative="1">
      <w:start w:val="1"/>
      <w:numFmt w:val="decimal"/>
      <w:lvlText w:val="%7."/>
      <w:lvlJc w:val="left"/>
      <w:pPr>
        <w:ind w:left="4669" w:hanging="360"/>
      </w:pPr>
    </w:lvl>
    <w:lvl w:ilvl="7" w:tplc="08090019" w:tentative="1">
      <w:start w:val="1"/>
      <w:numFmt w:val="lowerLetter"/>
      <w:lvlText w:val="%8."/>
      <w:lvlJc w:val="left"/>
      <w:pPr>
        <w:ind w:left="5389" w:hanging="360"/>
      </w:pPr>
    </w:lvl>
    <w:lvl w:ilvl="8" w:tplc="0809001B" w:tentative="1">
      <w:start w:val="1"/>
      <w:numFmt w:val="lowerRoman"/>
      <w:lvlText w:val="%9."/>
      <w:lvlJc w:val="right"/>
      <w:pPr>
        <w:ind w:left="6109" w:hanging="180"/>
      </w:pPr>
    </w:lvl>
  </w:abstractNum>
  <w:abstractNum w:abstractNumId="14" w15:restartNumberingAfterBreak="0">
    <w:nsid w:val="092922A7"/>
    <w:multiLevelType w:val="hybridMultilevel"/>
    <w:tmpl w:val="2B26D4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0A731236"/>
    <w:multiLevelType w:val="multilevel"/>
    <w:tmpl w:val="1700ACF6"/>
    <w:lvl w:ilvl="0">
      <w:start w:val="1"/>
      <w:numFmt w:val="decimal"/>
      <w:lvlText w:val="%1."/>
      <w:lvlJc w:val="left"/>
      <w:pPr>
        <w:ind w:left="720" w:hanging="360"/>
      </w:pPr>
      <w:rPr>
        <w:rFonts w:ascii="Arial" w:hAnsi="Arial"/>
        <w:color w:val="00000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0D800BCC"/>
    <w:multiLevelType w:val="hybridMultilevel"/>
    <w:tmpl w:val="646C0696"/>
    <w:lvl w:ilvl="0" w:tplc="08090001">
      <w:start w:val="1"/>
      <w:numFmt w:val="bullet"/>
      <w:lvlText w:val=""/>
      <w:lvlJc w:val="left"/>
      <w:pPr>
        <w:tabs>
          <w:tab w:val="num" w:pos="1800"/>
        </w:tabs>
        <w:ind w:left="1800" w:hanging="360"/>
      </w:pPr>
      <w:rPr>
        <w:rFonts w:ascii="Symbol" w:hAnsi="Symbol" w:hint="default"/>
        <w:i w:val="0"/>
      </w:r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17" w15:restartNumberingAfterBreak="0">
    <w:nsid w:val="1230678E"/>
    <w:multiLevelType w:val="hybridMultilevel"/>
    <w:tmpl w:val="F8741B1E"/>
    <w:lvl w:ilvl="0" w:tplc="0809000B">
      <w:start w:val="1"/>
      <w:numFmt w:val="bullet"/>
      <w:lvlText w:val=""/>
      <w:lvlJc w:val="left"/>
      <w:pPr>
        <w:ind w:left="2421" w:hanging="360"/>
      </w:pPr>
      <w:rPr>
        <w:rFonts w:ascii="Wingdings" w:hAnsi="Wingdings" w:hint="default"/>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18" w15:restartNumberingAfterBreak="0">
    <w:nsid w:val="18356878"/>
    <w:multiLevelType w:val="hybridMultilevel"/>
    <w:tmpl w:val="F2AEA086"/>
    <w:lvl w:ilvl="0" w:tplc="08090001">
      <w:start w:val="1"/>
      <w:numFmt w:val="bullet"/>
      <w:lvlText w:val=""/>
      <w:lvlJc w:val="left"/>
      <w:pPr>
        <w:tabs>
          <w:tab w:val="num" w:pos="1800"/>
        </w:tabs>
        <w:ind w:left="1800" w:hanging="360"/>
      </w:pPr>
      <w:rPr>
        <w:rFonts w:ascii="Symbol" w:hAnsi="Symbol" w:hint="default"/>
        <w:i w:val="0"/>
      </w:rPr>
    </w:lvl>
    <w:lvl w:ilvl="1" w:tplc="D438E596">
      <w:start w:val="518"/>
      <w:numFmt w:val="decimal"/>
      <w:lvlText w:val="%2"/>
      <w:lvlJc w:val="left"/>
      <w:pPr>
        <w:tabs>
          <w:tab w:val="num" w:pos="2205"/>
        </w:tabs>
        <w:ind w:left="2205" w:hanging="405"/>
      </w:pPr>
      <w:rPr>
        <w:rFonts w:hint="default"/>
      </w:r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19" w15:restartNumberingAfterBreak="0">
    <w:nsid w:val="1DD116B0"/>
    <w:multiLevelType w:val="hybridMultilevel"/>
    <w:tmpl w:val="13667CCA"/>
    <w:lvl w:ilvl="0" w:tplc="08090001">
      <w:start w:val="1"/>
      <w:numFmt w:val="bullet"/>
      <w:lvlText w:val=""/>
      <w:lvlJc w:val="left"/>
      <w:pPr>
        <w:tabs>
          <w:tab w:val="num" w:pos="1800"/>
        </w:tabs>
        <w:ind w:left="1800" w:hanging="360"/>
      </w:pPr>
      <w:rPr>
        <w:rFonts w:ascii="Symbol" w:hAnsi="Symbol" w:hint="default"/>
        <w:i w:val="0"/>
      </w:rPr>
    </w:lvl>
    <w:lvl w:ilvl="1" w:tplc="08090001">
      <w:start w:val="1"/>
      <w:numFmt w:val="bullet"/>
      <w:lvlText w:val=""/>
      <w:lvlJc w:val="left"/>
      <w:pPr>
        <w:tabs>
          <w:tab w:val="num" w:pos="1800"/>
        </w:tabs>
        <w:ind w:left="1800" w:hanging="360"/>
      </w:pPr>
      <w:rPr>
        <w:rFonts w:ascii="Symbol" w:hAnsi="Symbol" w:hint="default"/>
        <w:i w:val="0"/>
      </w:rPr>
    </w:lvl>
    <w:lvl w:ilvl="2" w:tplc="0809001B">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20" w15:restartNumberingAfterBreak="0">
    <w:nsid w:val="1EFE3CBC"/>
    <w:multiLevelType w:val="hybridMultilevel"/>
    <w:tmpl w:val="8BD022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0980FC5"/>
    <w:multiLevelType w:val="hybridMultilevel"/>
    <w:tmpl w:val="CA3E55C2"/>
    <w:lvl w:ilvl="0" w:tplc="AFA25F0A">
      <w:start w:val="1"/>
      <w:numFmt w:val="bullet"/>
      <w:pStyle w:val="Bulletpoints"/>
      <w:lvlText w:val=""/>
      <w:lvlJc w:val="left"/>
      <w:pPr>
        <w:ind w:left="1080" w:hanging="360"/>
      </w:pPr>
      <w:rPr>
        <w:rFonts w:ascii="Symbol" w:hAnsi="Symbol"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22263A6A"/>
    <w:multiLevelType w:val="multilevel"/>
    <w:tmpl w:val="43D6D2FA"/>
    <w:numStyleLink w:val="StyleBulletedSymbolsymbolLeft063cmHanging063cm"/>
  </w:abstractNum>
  <w:abstractNum w:abstractNumId="23" w15:restartNumberingAfterBreak="0">
    <w:nsid w:val="2C0A3AC3"/>
    <w:multiLevelType w:val="hybridMultilevel"/>
    <w:tmpl w:val="2B326A2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FDE25A4"/>
    <w:multiLevelType w:val="hybridMultilevel"/>
    <w:tmpl w:val="723E1B6A"/>
    <w:lvl w:ilvl="0" w:tplc="08090001">
      <w:start w:val="1"/>
      <w:numFmt w:val="bullet"/>
      <w:lvlText w:val=""/>
      <w:lvlJc w:val="left"/>
      <w:pPr>
        <w:tabs>
          <w:tab w:val="num" w:pos="1800"/>
        </w:tabs>
        <w:ind w:left="1800" w:hanging="360"/>
      </w:pPr>
      <w:rPr>
        <w:rFonts w:ascii="Symbol" w:hAnsi="Symbol" w:hint="default"/>
        <w:i w:val="0"/>
      </w:rPr>
    </w:lvl>
    <w:lvl w:ilvl="1" w:tplc="08090019" w:tentative="1">
      <w:start w:val="1"/>
      <w:numFmt w:val="lowerLetter"/>
      <w:lvlText w:val="%2."/>
      <w:lvlJc w:val="left"/>
      <w:pPr>
        <w:tabs>
          <w:tab w:val="num" w:pos="2880"/>
        </w:tabs>
        <w:ind w:left="2880" w:hanging="360"/>
      </w:pPr>
    </w:lvl>
    <w:lvl w:ilvl="2" w:tplc="0809001B" w:tentative="1">
      <w:start w:val="1"/>
      <w:numFmt w:val="lowerRoman"/>
      <w:lvlText w:val="%3."/>
      <w:lvlJc w:val="right"/>
      <w:pPr>
        <w:tabs>
          <w:tab w:val="num" w:pos="3600"/>
        </w:tabs>
        <w:ind w:left="3600" w:hanging="180"/>
      </w:pPr>
    </w:lvl>
    <w:lvl w:ilvl="3" w:tplc="0809000F" w:tentative="1">
      <w:start w:val="1"/>
      <w:numFmt w:val="decimal"/>
      <w:lvlText w:val="%4."/>
      <w:lvlJc w:val="left"/>
      <w:pPr>
        <w:tabs>
          <w:tab w:val="num" w:pos="4320"/>
        </w:tabs>
        <w:ind w:left="4320" w:hanging="360"/>
      </w:pPr>
    </w:lvl>
    <w:lvl w:ilvl="4" w:tplc="08090019" w:tentative="1">
      <w:start w:val="1"/>
      <w:numFmt w:val="lowerLetter"/>
      <w:lvlText w:val="%5."/>
      <w:lvlJc w:val="left"/>
      <w:pPr>
        <w:tabs>
          <w:tab w:val="num" w:pos="5040"/>
        </w:tabs>
        <w:ind w:left="5040" w:hanging="360"/>
      </w:pPr>
    </w:lvl>
    <w:lvl w:ilvl="5" w:tplc="0809001B" w:tentative="1">
      <w:start w:val="1"/>
      <w:numFmt w:val="lowerRoman"/>
      <w:lvlText w:val="%6."/>
      <w:lvlJc w:val="right"/>
      <w:pPr>
        <w:tabs>
          <w:tab w:val="num" w:pos="5760"/>
        </w:tabs>
        <w:ind w:left="5760" w:hanging="180"/>
      </w:pPr>
    </w:lvl>
    <w:lvl w:ilvl="6" w:tplc="0809000F" w:tentative="1">
      <w:start w:val="1"/>
      <w:numFmt w:val="decimal"/>
      <w:lvlText w:val="%7."/>
      <w:lvlJc w:val="left"/>
      <w:pPr>
        <w:tabs>
          <w:tab w:val="num" w:pos="6480"/>
        </w:tabs>
        <w:ind w:left="6480" w:hanging="360"/>
      </w:pPr>
    </w:lvl>
    <w:lvl w:ilvl="7" w:tplc="08090019" w:tentative="1">
      <w:start w:val="1"/>
      <w:numFmt w:val="lowerLetter"/>
      <w:lvlText w:val="%8."/>
      <w:lvlJc w:val="left"/>
      <w:pPr>
        <w:tabs>
          <w:tab w:val="num" w:pos="7200"/>
        </w:tabs>
        <w:ind w:left="7200" w:hanging="360"/>
      </w:pPr>
    </w:lvl>
    <w:lvl w:ilvl="8" w:tplc="0809001B" w:tentative="1">
      <w:start w:val="1"/>
      <w:numFmt w:val="lowerRoman"/>
      <w:lvlText w:val="%9."/>
      <w:lvlJc w:val="right"/>
      <w:pPr>
        <w:tabs>
          <w:tab w:val="num" w:pos="7920"/>
        </w:tabs>
        <w:ind w:left="7920" w:hanging="180"/>
      </w:pPr>
    </w:lvl>
  </w:abstractNum>
  <w:abstractNum w:abstractNumId="25" w15:restartNumberingAfterBreak="0">
    <w:nsid w:val="37A73600"/>
    <w:multiLevelType w:val="hybridMultilevel"/>
    <w:tmpl w:val="04B4DB0E"/>
    <w:lvl w:ilvl="0" w:tplc="AFA25F0A">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5A920572">
      <w:start w:val="2"/>
      <w:numFmt w:val="bullet"/>
      <w:lvlText w:val="-"/>
      <w:lvlJc w:val="left"/>
      <w:pPr>
        <w:ind w:left="4045"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3B0B4923"/>
    <w:multiLevelType w:val="hybridMultilevel"/>
    <w:tmpl w:val="2D8835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FC93ACA"/>
    <w:multiLevelType w:val="hybridMultilevel"/>
    <w:tmpl w:val="30FE0E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0343E22"/>
    <w:multiLevelType w:val="hybridMultilevel"/>
    <w:tmpl w:val="3E3ABABA"/>
    <w:lvl w:ilvl="0" w:tplc="081A0C3A">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437F1004"/>
    <w:multiLevelType w:val="hybridMultilevel"/>
    <w:tmpl w:val="4E022B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612530E"/>
    <w:multiLevelType w:val="hybridMultilevel"/>
    <w:tmpl w:val="CEECF38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46764EAF"/>
    <w:multiLevelType w:val="hybridMultilevel"/>
    <w:tmpl w:val="AB6257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D8F2C59"/>
    <w:multiLevelType w:val="hybridMultilevel"/>
    <w:tmpl w:val="396C5B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5C93A24"/>
    <w:multiLevelType w:val="hybridMultilevel"/>
    <w:tmpl w:val="88604778"/>
    <w:lvl w:ilvl="0" w:tplc="08090003">
      <w:start w:val="1"/>
      <w:numFmt w:val="bullet"/>
      <w:lvlText w:val="o"/>
      <w:lvlJc w:val="left"/>
      <w:pPr>
        <w:tabs>
          <w:tab w:val="num" w:pos="1560"/>
        </w:tabs>
        <w:ind w:left="1560" w:hanging="360"/>
      </w:pPr>
      <w:rPr>
        <w:rFonts w:ascii="Courier New" w:hAnsi="Courier New" w:cs="Courier New" w:hint="default"/>
        <w:i w:val="0"/>
      </w:rPr>
    </w:lvl>
    <w:lvl w:ilvl="1" w:tplc="08090019">
      <w:start w:val="1"/>
      <w:numFmt w:val="lowerLetter"/>
      <w:lvlText w:val="%2."/>
      <w:lvlJc w:val="left"/>
      <w:pPr>
        <w:tabs>
          <w:tab w:val="num" w:pos="1920"/>
        </w:tabs>
        <w:ind w:left="1920" w:hanging="360"/>
      </w:pPr>
    </w:lvl>
    <w:lvl w:ilvl="2" w:tplc="0809001B" w:tentative="1">
      <w:start w:val="1"/>
      <w:numFmt w:val="lowerRoman"/>
      <w:lvlText w:val="%3."/>
      <w:lvlJc w:val="right"/>
      <w:pPr>
        <w:tabs>
          <w:tab w:val="num" w:pos="2640"/>
        </w:tabs>
        <w:ind w:left="2640" w:hanging="180"/>
      </w:pPr>
    </w:lvl>
    <w:lvl w:ilvl="3" w:tplc="0809000F" w:tentative="1">
      <w:start w:val="1"/>
      <w:numFmt w:val="decimal"/>
      <w:lvlText w:val="%4."/>
      <w:lvlJc w:val="left"/>
      <w:pPr>
        <w:tabs>
          <w:tab w:val="num" w:pos="3360"/>
        </w:tabs>
        <w:ind w:left="3360" w:hanging="360"/>
      </w:pPr>
    </w:lvl>
    <w:lvl w:ilvl="4" w:tplc="08090019" w:tentative="1">
      <w:start w:val="1"/>
      <w:numFmt w:val="lowerLetter"/>
      <w:lvlText w:val="%5."/>
      <w:lvlJc w:val="left"/>
      <w:pPr>
        <w:tabs>
          <w:tab w:val="num" w:pos="4080"/>
        </w:tabs>
        <w:ind w:left="4080" w:hanging="360"/>
      </w:pPr>
    </w:lvl>
    <w:lvl w:ilvl="5" w:tplc="0809001B" w:tentative="1">
      <w:start w:val="1"/>
      <w:numFmt w:val="lowerRoman"/>
      <w:lvlText w:val="%6."/>
      <w:lvlJc w:val="right"/>
      <w:pPr>
        <w:tabs>
          <w:tab w:val="num" w:pos="4800"/>
        </w:tabs>
        <w:ind w:left="4800" w:hanging="180"/>
      </w:pPr>
    </w:lvl>
    <w:lvl w:ilvl="6" w:tplc="0809000F" w:tentative="1">
      <w:start w:val="1"/>
      <w:numFmt w:val="decimal"/>
      <w:lvlText w:val="%7."/>
      <w:lvlJc w:val="left"/>
      <w:pPr>
        <w:tabs>
          <w:tab w:val="num" w:pos="5520"/>
        </w:tabs>
        <w:ind w:left="5520" w:hanging="360"/>
      </w:pPr>
    </w:lvl>
    <w:lvl w:ilvl="7" w:tplc="08090019" w:tentative="1">
      <w:start w:val="1"/>
      <w:numFmt w:val="lowerLetter"/>
      <w:lvlText w:val="%8."/>
      <w:lvlJc w:val="left"/>
      <w:pPr>
        <w:tabs>
          <w:tab w:val="num" w:pos="6240"/>
        </w:tabs>
        <w:ind w:left="6240" w:hanging="360"/>
      </w:pPr>
    </w:lvl>
    <w:lvl w:ilvl="8" w:tplc="0809001B" w:tentative="1">
      <w:start w:val="1"/>
      <w:numFmt w:val="lowerRoman"/>
      <w:lvlText w:val="%9."/>
      <w:lvlJc w:val="right"/>
      <w:pPr>
        <w:tabs>
          <w:tab w:val="num" w:pos="6960"/>
        </w:tabs>
        <w:ind w:left="6960" w:hanging="180"/>
      </w:pPr>
    </w:lvl>
  </w:abstractNum>
  <w:abstractNum w:abstractNumId="34" w15:restartNumberingAfterBreak="0">
    <w:nsid w:val="56565907"/>
    <w:multiLevelType w:val="hybridMultilevel"/>
    <w:tmpl w:val="55949A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5ABA5FD8"/>
    <w:multiLevelType w:val="multilevel"/>
    <w:tmpl w:val="43D6D2FA"/>
    <w:numStyleLink w:val="StyleBulletedSymbolsymbolLeft063cmHanging063cm"/>
  </w:abstractNum>
  <w:abstractNum w:abstractNumId="36" w15:restartNumberingAfterBreak="0">
    <w:nsid w:val="5C7E19E2"/>
    <w:multiLevelType w:val="hybridMultilevel"/>
    <w:tmpl w:val="3146A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2A22831"/>
    <w:multiLevelType w:val="multilevel"/>
    <w:tmpl w:val="43D6D2FA"/>
    <w:numStyleLink w:val="StyleBulletedSymbolsymbolLeft063cmHanging063cm"/>
  </w:abstractNum>
  <w:abstractNum w:abstractNumId="38" w15:restartNumberingAfterBreak="0">
    <w:nsid w:val="66F101F9"/>
    <w:multiLevelType w:val="singleLevel"/>
    <w:tmpl w:val="08090001"/>
    <w:lvl w:ilvl="0">
      <w:start w:val="1"/>
      <w:numFmt w:val="bullet"/>
      <w:lvlText w:val=""/>
      <w:lvlJc w:val="left"/>
      <w:pPr>
        <w:tabs>
          <w:tab w:val="num" w:pos="360"/>
        </w:tabs>
        <w:ind w:left="360" w:hanging="360"/>
      </w:pPr>
      <w:rPr>
        <w:rFonts w:ascii="Symbol" w:hAnsi="Symbol" w:cs="Times New Roman" w:hint="default"/>
      </w:rPr>
    </w:lvl>
  </w:abstractNum>
  <w:abstractNum w:abstractNumId="39" w15:restartNumberingAfterBreak="0">
    <w:nsid w:val="6A9F2B3C"/>
    <w:multiLevelType w:val="multilevel"/>
    <w:tmpl w:val="4C5820D8"/>
    <w:lvl w:ilvl="0">
      <w:start w:val="1"/>
      <w:numFmt w:val="decimal"/>
      <w:pStyle w:val="Numberedlist"/>
      <w:lvlText w:val="%1."/>
      <w:lvlJc w:val="left"/>
      <w:pPr>
        <w:ind w:left="720" w:hanging="360"/>
      </w:pPr>
      <w:rPr>
        <w:rFonts w:ascii="Arial" w:hAnsi="Arial"/>
        <w:color w:val="00000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B1550E4"/>
    <w:multiLevelType w:val="hybridMultilevel"/>
    <w:tmpl w:val="DD86F5EA"/>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FD16223"/>
    <w:multiLevelType w:val="hybridMultilevel"/>
    <w:tmpl w:val="E67CE66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15:restartNumberingAfterBreak="0">
    <w:nsid w:val="798365C6"/>
    <w:multiLevelType w:val="multilevel"/>
    <w:tmpl w:val="E67CE66C"/>
    <w:numStyleLink w:val="StyleNumberedLeft0cmHanging075cm"/>
  </w:abstractNum>
  <w:num w:numId="1" w16cid:durableId="1003704025">
    <w:abstractNumId w:val="34"/>
  </w:num>
  <w:num w:numId="2" w16cid:durableId="780416972">
    <w:abstractNumId w:val="40"/>
  </w:num>
  <w:num w:numId="3" w16cid:durableId="2023360493">
    <w:abstractNumId w:val="30"/>
  </w:num>
  <w:num w:numId="4" w16cid:durableId="150290333">
    <w:abstractNumId w:val="23"/>
  </w:num>
  <w:num w:numId="5" w16cid:durableId="523596330">
    <w:abstractNumId w:val="36"/>
  </w:num>
  <w:num w:numId="6" w16cid:durableId="1779371853">
    <w:abstractNumId w:val="41"/>
  </w:num>
  <w:num w:numId="7" w16cid:durableId="1082869315">
    <w:abstractNumId w:val="29"/>
  </w:num>
  <w:num w:numId="8" w16cid:durableId="418406709">
    <w:abstractNumId w:val="26"/>
  </w:num>
  <w:num w:numId="9" w16cid:durableId="115295664">
    <w:abstractNumId w:val="14"/>
  </w:num>
  <w:num w:numId="10" w16cid:durableId="600837461">
    <w:abstractNumId w:val="20"/>
  </w:num>
  <w:num w:numId="11" w16cid:durableId="1694957982">
    <w:abstractNumId w:val="32"/>
  </w:num>
  <w:num w:numId="12" w16cid:durableId="318729475">
    <w:abstractNumId w:val="31"/>
  </w:num>
  <w:num w:numId="13" w16cid:durableId="1553810721">
    <w:abstractNumId w:val="10"/>
  </w:num>
  <w:num w:numId="14" w16cid:durableId="727610742">
    <w:abstractNumId w:val="42"/>
    <w:lvlOverride w:ilvl="0">
      <w:lvl w:ilvl="0">
        <w:start w:val="1"/>
        <w:numFmt w:val="decimal"/>
        <w:pStyle w:val="ListParagraph"/>
        <w:lvlText w:val="%1."/>
        <w:lvlJc w:val="left"/>
        <w:pPr>
          <w:ind w:left="360" w:hanging="360"/>
        </w:pPr>
        <w:rPr>
          <w:rFonts w:ascii="Arial" w:hAnsi="Arial"/>
          <w:b w:val="0"/>
          <w:color w:val="000000"/>
          <w:sz w:val="24"/>
        </w:rPr>
      </w:lvl>
    </w:lvlOverride>
  </w:num>
  <w:num w:numId="15" w16cid:durableId="1464427101">
    <w:abstractNumId w:val="21"/>
  </w:num>
  <w:num w:numId="16" w16cid:durableId="96220546">
    <w:abstractNumId w:val="11"/>
  </w:num>
  <w:num w:numId="17" w16cid:durableId="1450856550">
    <w:abstractNumId w:val="35"/>
  </w:num>
  <w:num w:numId="18" w16cid:durableId="1232883241">
    <w:abstractNumId w:val="12"/>
  </w:num>
  <w:num w:numId="19" w16cid:durableId="1987083848">
    <w:abstractNumId w:val="37"/>
  </w:num>
  <w:num w:numId="20" w16cid:durableId="1832022440">
    <w:abstractNumId w:val="22"/>
  </w:num>
  <w:num w:numId="21" w16cid:durableId="193538190">
    <w:abstractNumId w:val="28"/>
  </w:num>
  <w:num w:numId="22" w16cid:durableId="508259448">
    <w:abstractNumId w:val="15"/>
  </w:num>
  <w:num w:numId="23" w16cid:durableId="1623413677">
    <w:abstractNumId w:val="39"/>
  </w:num>
  <w:num w:numId="24" w16cid:durableId="1561667541">
    <w:abstractNumId w:val="9"/>
  </w:num>
  <w:num w:numId="25" w16cid:durableId="1562980729">
    <w:abstractNumId w:val="8"/>
  </w:num>
  <w:num w:numId="26" w16cid:durableId="1682198974">
    <w:abstractNumId w:val="7"/>
  </w:num>
  <w:num w:numId="27" w16cid:durableId="117645245">
    <w:abstractNumId w:val="6"/>
  </w:num>
  <w:num w:numId="28" w16cid:durableId="1161775004">
    <w:abstractNumId w:val="5"/>
  </w:num>
  <w:num w:numId="29" w16cid:durableId="1165703752">
    <w:abstractNumId w:val="4"/>
  </w:num>
  <w:num w:numId="30" w16cid:durableId="850802592">
    <w:abstractNumId w:val="3"/>
  </w:num>
  <w:num w:numId="31" w16cid:durableId="1053188407">
    <w:abstractNumId w:val="2"/>
  </w:num>
  <w:num w:numId="32" w16cid:durableId="829520988">
    <w:abstractNumId w:val="1"/>
  </w:num>
  <w:num w:numId="33" w16cid:durableId="2064405335">
    <w:abstractNumId w:val="0"/>
  </w:num>
  <w:num w:numId="34" w16cid:durableId="1449008283">
    <w:abstractNumId w:val="38"/>
  </w:num>
  <w:num w:numId="35" w16cid:durableId="495458844">
    <w:abstractNumId w:val="24"/>
  </w:num>
  <w:num w:numId="36" w16cid:durableId="1473717647">
    <w:abstractNumId w:val="16"/>
  </w:num>
  <w:num w:numId="37" w16cid:durableId="2143040391">
    <w:abstractNumId w:val="18"/>
  </w:num>
  <w:num w:numId="38" w16cid:durableId="1667509528">
    <w:abstractNumId w:val="19"/>
  </w:num>
  <w:num w:numId="39" w16cid:durableId="1044334918">
    <w:abstractNumId w:val="17"/>
  </w:num>
  <w:num w:numId="40" w16cid:durableId="1410350380">
    <w:abstractNumId w:val="33"/>
  </w:num>
  <w:num w:numId="41" w16cid:durableId="1527644670">
    <w:abstractNumId w:val="13"/>
  </w:num>
  <w:num w:numId="42" w16cid:durableId="1246459017">
    <w:abstractNumId w:val="25"/>
  </w:num>
  <w:num w:numId="43" w16cid:durableId="2088308273">
    <w:abstractNumId w:val="42"/>
  </w:num>
  <w:num w:numId="44" w16cid:durableId="924606286">
    <w:abstractNumId w:val="21"/>
  </w:num>
  <w:num w:numId="45" w16cid:durableId="1889489102">
    <w:abstractNumId w:val="2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B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1"/>
  <w:stylePaneSortMethod w:val="0000"/>
  <w:documentProtection w:edit="trackedChanges" w:enforcement="0"/>
  <w:defaultTabStop w:val="720"/>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292"/>
    <w:rsid w:val="000117D4"/>
    <w:rsid w:val="0002445A"/>
    <w:rsid w:val="00041EB7"/>
    <w:rsid w:val="0004221C"/>
    <w:rsid w:val="00045F8B"/>
    <w:rsid w:val="00046D2B"/>
    <w:rsid w:val="00056263"/>
    <w:rsid w:val="00064D8A"/>
    <w:rsid w:val="00064F82"/>
    <w:rsid w:val="00066510"/>
    <w:rsid w:val="00077523"/>
    <w:rsid w:val="000807FF"/>
    <w:rsid w:val="000C089F"/>
    <w:rsid w:val="000C3928"/>
    <w:rsid w:val="000C4412"/>
    <w:rsid w:val="000C5E8E"/>
    <w:rsid w:val="000D0455"/>
    <w:rsid w:val="000F262C"/>
    <w:rsid w:val="000F4751"/>
    <w:rsid w:val="00101AD2"/>
    <w:rsid w:val="0010524C"/>
    <w:rsid w:val="00105808"/>
    <w:rsid w:val="00111FB1"/>
    <w:rsid w:val="00112188"/>
    <w:rsid w:val="00113418"/>
    <w:rsid w:val="00117FD4"/>
    <w:rsid w:val="00124443"/>
    <w:rsid w:val="00130F62"/>
    <w:rsid w:val="001356F1"/>
    <w:rsid w:val="00136994"/>
    <w:rsid w:val="0014128E"/>
    <w:rsid w:val="00145C4B"/>
    <w:rsid w:val="00150736"/>
    <w:rsid w:val="00151888"/>
    <w:rsid w:val="00160319"/>
    <w:rsid w:val="00166435"/>
    <w:rsid w:val="00166EE5"/>
    <w:rsid w:val="00167A2A"/>
    <w:rsid w:val="00170A2D"/>
    <w:rsid w:val="00172541"/>
    <w:rsid w:val="00173047"/>
    <w:rsid w:val="001808BC"/>
    <w:rsid w:val="00182B81"/>
    <w:rsid w:val="0018619D"/>
    <w:rsid w:val="001A011E"/>
    <w:rsid w:val="001A066A"/>
    <w:rsid w:val="001A13E6"/>
    <w:rsid w:val="001A5731"/>
    <w:rsid w:val="001B2B3D"/>
    <w:rsid w:val="001B3E41"/>
    <w:rsid w:val="001B42C3"/>
    <w:rsid w:val="001C262C"/>
    <w:rsid w:val="001C5D5E"/>
    <w:rsid w:val="001D678D"/>
    <w:rsid w:val="001E03F8"/>
    <w:rsid w:val="001E3376"/>
    <w:rsid w:val="00202716"/>
    <w:rsid w:val="002069B3"/>
    <w:rsid w:val="00221DC9"/>
    <w:rsid w:val="002329CF"/>
    <w:rsid w:val="00232F5B"/>
    <w:rsid w:val="00247C29"/>
    <w:rsid w:val="002521DF"/>
    <w:rsid w:val="00260467"/>
    <w:rsid w:val="00263EA3"/>
    <w:rsid w:val="00277B03"/>
    <w:rsid w:val="00284F85"/>
    <w:rsid w:val="00290915"/>
    <w:rsid w:val="002A22E2"/>
    <w:rsid w:val="002C64F7"/>
    <w:rsid w:val="002C710A"/>
    <w:rsid w:val="002F41F2"/>
    <w:rsid w:val="00301BF3"/>
    <w:rsid w:val="0030208D"/>
    <w:rsid w:val="00311E17"/>
    <w:rsid w:val="00323418"/>
    <w:rsid w:val="003250C9"/>
    <w:rsid w:val="00332CBF"/>
    <w:rsid w:val="003357BF"/>
    <w:rsid w:val="00353F45"/>
    <w:rsid w:val="00364F7C"/>
    <w:rsid w:val="00364FAD"/>
    <w:rsid w:val="0036738F"/>
    <w:rsid w:val="0036759C"/>
    <w:rsid w:val="00367AE5"/>
    <w:rsid w:val="00367D71"/>
    <w:rsid w:val="0037305D"/>
    <w:rsid w:val="0038150A"/>
    <w:rsid w:val="003866E7"/>
    <w:rsid w:val="00391154"/>
    <w:rsid w:val="003B59B2"/>
    <w:rsid w:val="003B6E75"/>
    <w:rsid w:val="003B790B"/>
    <w:rsid w:val="003C1B47"/>
    <w:rsid w:val="003D0379"/>
    <w:rsid w:val="003D2574"/>
    <w:rsid w:val="003D4C59"/>
    <w:rsid w:val="003D7383"/>
    <w:rsid w:val="003E218C"/>
    <w:rsid w:val="003F4267"/>
    <w:rsid w:val="00402BC1"/>
    <w:rsid w:val="00404032"/>
    <w:rsid w:val="0040736F"/>
    <w:rsid w:val="00412C1F"/>
    <w:rsid w:val="00421CB2"/>
    <w:rsid w:val="004268B9"/>
    <w:rsid w:val="00433B96"/>
    <w:rsid w:val="004347F0"/>
    <w:rsid w:val="004367F5"/>
    <w:rsid w:val="004440F1"/>
    <w:rsid w:val="00444EDC"/>
    <w:rsid w:val="004456DD"/>
    <w:rsid w:val="00446013"/>
    <w:rsid w:val="00446CDF"/>
    <w:rsid w:val="004521B7"/>
    <w:rsid w:val="00455ABF"/>
    <w:rsid w:val="00462AB5"/>
    <w:rsid w:val="00465EAF"/>
    <w:rsid w:val="00471512"/>
    <w:rsid w:val="004738C5"/>
    <w:rsid w:val="00491046"/>
    <w:rsid w:val="00496FAD"/>
    <w:rsid w:val="004A2AC7"/>
    <w:rsid w:val="004A4DEB"/>
    <w:rsid w:val="004A5337"/>
    <w:rsid w:val="004A6595"/>
    <w:rsid w:val="004A6D2F"/>
    <w:rsid w:val="004B348B"/>
    <w:rsid w:val="004B45BA"/>
    <w:rsid w:val="004C2887"/>
    <w:rsid w:val="004D2626"/>
    <w:rsid w:val="004D6E26"/>
    <w:rsid w:val="004D77D3"/>
    <w:rsid w:val="004E2959"/>
    <w:rsid w:val="004F0676"/>
    <w:rsid w:val="004F20EF"/>
    <w:rsid w:val="004F6BA7"/>
    <w:rsid w:val="00501391"/>
    <w:rsid w:val="0050321C"/>
    <w:rsid w:val="005176F3"/>
    <w:rsid w:val="0054712D"/>
    <w:rsid w:val="00547EF6"/>
    <w:rsid w:val="0055098D"/>
    <w:rsid w:val="005570B5"/>
    <w:rsid w:val="00567E18"/>
    <w:rsid w:val="00572B88"/>
    <w:rsid w:val="00574F67"/>
    <w:rsid w:val="00575F5F"/>
    <w:rsid w:val="00581805"/>
    <w:rsid w:val="005837A9"/>
    <w:rsid w:val="00585F76"/>
    <w:rsid w:val="00592AC8"/>
    <w:rsid w:val="005933E2"/>
    <w:rsid w:val="005A2220"/>
    <w:rsid w:val="005A34E4"/>
    <w:rsid w:val="005B17F2"/>
    <w:rsid w:val="005B7FB0"/>
    <w:rsid w:val="005C35A5"/>
    <w:rsid w:val="005C577C"/>
    <w:rsid w:val="005D0621"/>
    <w:rsid w:val="005D1E27"/>
    <w:rsid w:val="005D2763"/>
    <w:rsid w:val="005E022E"/>
    <w:rsid w:val="005E2F05"/>
    <w:rsid w:val="005E3376"/>
    <w:rsid w:val="005E5215"/>
    <w:rsid w:val="005E720A"/>
    <w:rsid w:val="005E7332"/>
    <w:rsid w:val="005E7E6E"/>
    <w:rsid w:val="005F583C"/>
    <w:rsid w:val="005F7F7E"/>
    <w:rsid w:val="00605F60"/>
    <w:rsid w:val="00614693"/>
    <w:rsid w:val="00623464"/>
    <w:rsid w:val="00623C2F"/>
    <w:rsid w:val="00632A88"/>
    <w:rsid w:val="00633578"/>
    <w:rsid w:val="00637068"/>
    <w:rsid w:val="00650811"/>
    <w:rsid w:val="00657113"/>
    <w:rsid w:val="00661D3E"/>
    <w:rsid w:val="0067560B"/>
    <w:rsid w:val="00677651"/>
    <w:rsid w:val="00682E3E"/>
    <w:rsid w:val="00687B34"/>
    <w:rsid w:val="00692627"/>
    <w:rsid w:val="006969E7"/>
    <w:rsid w:val="006A3643"/>
    <w:rsid w:val="006B649F"/>
    <w:rsid w:val="006C1D78"/>
    <w:rsid w:val="006C1F74"/>
    <w:rsid w:val="006C2A29"/>
    <w:rsid w:val="006C64CF"/>
    <w:rsid w:val="006D17B1"/>
    <w:rsid w:val="006D708A"/>
    <w:rsid w:val="006E14C1"/>
    <w:rsid w:val="006E16C5"/>
    <w:rsid w:val="006E7743"/>
    <w:rsid w:val="006F0292"/>
    <w:rsid w:val="006F416B"/>
    <w:rsid w:val="006F519B"/>
    <w:rsid w:val="006F6546"/>
    <w:rsid w:val="0070032F"/>
    <w:rsid w:val="00704E5A"/>
    <w:rsid w:val="00713675"/>
    <w:rsid w:val="00715823"/>
    <w:rsid w:val="00727C65"/>
    <w:rsid w:val="00737B93"/>
    <w:rsid w:val="00745BF0"/>
    <w:rsid w:val="00760800"/>
    <w:rsid w:val="007615FE"/>
    <w:rsid w:val="0076655C"/>
    <w:rsid w:val="007742DC"/>
    <w:rsid w:val="00791437"/>
    <w:rsid w:val="007A143B"/>
    <w:rsid w:val="007A659C"/>
    <w:rsid w:val="007B0C2C"/>
    <w:rsid w:val="007B278E"/>
    <w:rsid w:val="007C1201"/>
    <w:rsid w:val="007C5C23"/>
    <w:rsid w:val="007D68BC"/>
    <w:rsid w:val="007E2A26"/>
    <w:rsid w:val="007F2348"/>
    <w:rsid w:val="007F684B"/>
    <w:rsid w:val="00803F07"/>
    <w:rsid w:val="0080749A"/>
    <w:rsid w:val="008121B9"/>
    <w:rsid w:val="008128E5"/>
    <w:rsid w:val="00817BC9"/>
    <w:rsid w:val="00821AAF"/>
    <w:rsid w:val="00821FB8"/>
    <w:rsid w:val="00822ACD"/>
    <w:rsid w:val="00837DEC"/>
    <w:rsid w:val="00844FE8"/>
    <w:rsid w:val="0084665A"/>
    <w:rsid w:val="00846DD9"/>
    <w:rsid w:val="00855C66"/>
    <w:rsid w:val="008637C7"/>
    <w:rsid w:val="008643B9"/>
    <w:rsid w:val="00864801"/>
    <w:rsid w:val="00865419"/>
    <w:rsid w:val="0086763C"/>
    <w:rsid w:val="00871A47"/>
    <w:rsid w:val="00871EE4"/>
    <w:rsid w:val="0087508C"/>
    <w:rsid w:val="00875125"/>
    <w:rsid w:val="00880271"/>
    <w:rsid w:val="00883205"/>
    <w:rsid w:val="008A0F39"/>
    <w:rsid w:val="008A1115"/>
    <w:rsid w:val="008B293F"/>
    <w:rsid w:val="008B7371"/>
    <w:rsid w:val="008D070C"/>
    <w:rsid w:val="008D09D2"/>
    <w:rsid w:val="008D3DDB"/>
    <w:rsid w:val="008F573F"/>
    <w:rsid w:val="009034EC"/>
    <w:rsid w:val="0093067A"/>
    <w:rsid w:val="00935E10"/>
    <w:rsid w:val="00941C60"/>
    <w:rsid w:val="00951C45"/>
    <w:rsid w:val="00961EEE"/>
    <w:rsid w:val="00966D42"/>
    <w:rsid w:val="00971689"/>
    <w:rsid w:val="009733FC"/>
    <w:rsid w:val="00973E90"/>
    <w:rsid w:val="00975B07"/>
    <w:rsid w:val="00975B8B"/>
    <w:rsid w:val="00980B4A"/>
    <w:rsid w:val="0098120C"/>
    <w:rsid w:val="0098751C"/>
    <w:rsid w:val="00993B5D"/>
    <w:rsid w:val="00997190"/>
    <w:rsid w:val="009B0129"/>
    <w:rsid w:val="009B267C"/>
    <w:rsid w:val="009B39FC"/>
    <w:rsid w:val="009C784C"/>
    <w:rsid w:val="009E145B"/>
    <w:rsid w:val="009E3D0A"/>
    <w:rsid w:val="009E51FC"/>
    <w:rsid w:val="009E5A4B"/>
    <w:rsid w:val="009F1D28"/>
    <w:rsid w:val="009F7618"/>
    <w:rsid w:val="00A04D23"/>
    <w:rsid w:val="00A06766"/>
    <w:rsid w:val="00A077B5"/>
    <w:rsid w:val="00A13765"/>
    <w:rsid w:val="00A21B12"/>
    <w:rsid w:val="00A23F80"/>
    <w:rsid w:val="00A33D49"/>
    <w:rsid w:val="00A36680"/>
    <w:rsid w:val="00A44635"/>
    <w:rsid w:val="00A46E98"/>
    <w:rsid w:val="00A548EB"/>
    <w:rsid w:val="00A575B8"/>
    <w:rsid w:val="00A6099A"/>
    <w:rsid w:val="00A6352B"/>
    <w:rsid w:val="00A701B5"/>
    <w:rsid w:val="00A714BB"/>
    <w:rsid w:val="00A92D8F"/>
    <w:rsid w:val="00AB2988"/>
    <w:rsid w:val="00AB7999"/>
    <w:rsid w:val="00AD3292"/>
    <w:rsid w:val="00AE152C"/>
    <w:rsid w:val="00AE4393"/>
    <w:rsid w:val="00AE7AF0"/>
    <w:rsid w:val="00B003A0"/>
    <w:rsid w:val="00B04DF0"/>
    <w:rsid w:val="00B05A49"/>
    <w:rsid w:val="00B31192"/>
    <w:rsid w:val="00B43A65"/>
    <w:rsid w:val="00B4532B"/>
    <w:rsid w:val="00B500CA"/>
    <w:rsid w:val="00B558E1"/>
    <w:rsid w:val="00B6245B"/>
    <w:rsid w:val="00B7799F"/>
    <w:rsid w:val="00B86314"/>
    <w:rsid w:val="00B90BC0"/>
    <w:rsid w:val="00B92332"/>
    <w:rsid w:val="00BA1C2E"/>
    <w:rsid w:val="00BB27A6"/>
    <w:rsid w:val="00BB3A1A"/>
    <w:rsid w:val="00BC200B"/>
    <w:rsid w:val="00BC4756"/>
    <w:rsid w:val="00BC69A4"/>
    <w:rsid w:val="00BD7A53"/>
    <w:rsid w:val="00BE0680"/>
    <w:rsid w:val="00BE305F"/>
    <w:rsid w:val="00BE7BA3"/>
    <w:rsid w:val="00BF00FB"/>
    <w:rsid w:val="00BF5682"/>
    <w:rsid w:val="00BF7B09"/>
    <w:rsid w:val="00C02FCD"/>
    <w:rsid w:val="00C20A95"/>
    <w:rsid w:val="00C24CC7"/>
    <w:rsid w:val="00C2692F"/>
    <w:rsid w:val="00C3207C"/>
    <w:rsid w:val="00C400E1"/>
    <w:rsid w:val="00C41187"/>
    <w:rsid w:val="00C5576D"/>
    <w:rsid w:val="00C63C31"/>
    <w:rsid w:val="00C67F9A"/>
    <w:rsid w:val="00C7579F"/>
    <w:rsid w:val="00C757A0"/>
    <w:rsid w:val="00C760DE"/>
    <w:rsid w:val="00C767D9"/>
    <w:rsid w:val="00C76AC1"/>
    <w:rsid w:val="00C773F8"/>
    <w:rsid w:val="00C82630"/>
    <w:rsid w:val="00C85A20"/>
    <w:rsid w:val="00C85B4E"/>
    <w:rsid w:val="00C907F7"/>
    <w:rsid w:val="00CA2103"/>
    <w:rsid w:val="00CA3525"/>
    <w:rsid w:val="00CB6B99"/>
    <w:rsid w:val="00CC2E2E"/>
    <w:rsid w:val="00CE4C87"/>
    <w:rsid w:val="00CE544A"/>
    <w:rsid w:val="00CF0745"/>
    <w:rsid w:val="00CF17DF"/>
    <w:rsid w:val="00CF79E3"/>
    <w:rsid w:val="00D11E1C"/>
    <w:rsid w:val="00D160B0"/>
    <w:rsid w:val="00D17F94"/>
    <w:rsid w:val="00D223FC"/>
    <w:rsid w:val="00D24AC7"/>
    <w:rsid w:val="00D24FD9"/>
    <w:rsid w:val="00D26D1E"/>
    <w:rsid w:val="00D27C5B"/>
    <w:rsid w:val="00D4172E"/>
    <w:rsid w:val="00D474CF"/>
    <w:rsid w:val="00D5547E"/>
    <w:rsid w:val="00D6329F"/>
    <w:rsid w:val="00D6683E"/>
    <w:rsid w:val="00D67B8F"/>
    <w:rsid w:val="00D74D47"/>
    <w:rsid w:val="00D804E7"/>
    <w:rsid w:val="00D83C28"/>
    <w:rsid w:val="00D87A02"/>
    <w:rsid w:val="00D90A28"/>
    <w:rsid w:val="00DA413F"/>
    <w:rsid w:val="00DA4584"/>
    <w:rsid w:val="00DA614B"/>
    <w:rsid w:val="00DB4ED9"/>
    <w:rsid w:val="00DC3060"/>
    <w:rsid w:val="00DD2FED"/>
    <w:rsid w:val="00DE0FB2"/>
    <w:rsid w:val="00DF093E"/>
    <w:rsid w:val="00DF2E0F"/>
    <w:rsid w:val="00E00DC8"/>
    <w:rsid w:val="00E01F42"/>
    <w:rsid w:val="00E02888"/>
    <w:rsid w:val="00E11706"/>
    <w:rsid w:val="00E137CF"/>
    <w:rsid w:val="00E206D6"/>
    <w:rsid w:val="00E2622C"/>
    <w:rsid w:val="00E324FA"/>
    <w:rsid w:val="00E33416"/>
    <w:rsid w:val="00E3366E"/>
    <w:rsid w:val="00E37C50"/>
    <w:rsid w:val="00E40B42"/>
    <w:rsid w:val="00E52086"/>
    <w:rsid w:val="00E52920"/>
    <w:rsid w:val="00E543A6"/>
    <w:rsid w:val="00E60479"/>
    <w:rsid w:val="00E61D73"/>
    <w:rsid w:val="00E70178"/>
    <w:rsid w:val="00E73684"/>
    <w:rsid w:val="00E800C0"/>
    <w:rsid w:val="00E818D6"/>
    <w:rsid w:val="00E87F7A"/>
    <w:rsid w:val="00E95BBF"/>
    <w:rsid w:val="00E96BD7"/>
    <w:rsid w:val="00EA0DB1"/>
    <w:rsid w:val="00EA0EE9"/>
    <w:rsid w:val="00EA369F"/>
    <w:rsid w:val="00EB2D95"/>
    <w:rsid w:val="00EB791C"/>
    <w:rsid w:val="00EC2177"/>
    <w:rsid w:val="00EC6EDE"/>
    <w:rsid w:val="00ED4ED1"/>
    <w:rsid w:val="00ED52CA"/>
    <w:rsid w:val="00ED5860"/>
    <w:rsid w:val="00EE35C9"/>
    <w:rsid w:val="00EE3EB7"/>
    <w:rsid w:val="00EE698E"/>
    <w:rsid w:val="00EF0B98"/>
    <w:rsid w:val="00EF2213"/>
    <w:rsid w:val="00EF3518"/>
    <w:rsid w:val="00F05AD0"/>
    <w:rsid w:val="00F05ECA"/>
    <w:rsid w:val="00F13BCA"/>
    <w:rsid w:val="00F3566E"/>
    <w:rsid w:val="00F36002"/>
    <w:rsid w:val="00F375FB"/>
    <w:rsid w:val="00F40624"/>
    <w:rsid w:val="00F41AC1"/>
    <w:rsid w:val="00F41BDE"/>
    <w:rsid w:val="00F4367A"/>
    <w:rsid w:val="00F445B1"/>
    <w:rsid w:val="00F45CD4"/>
    <w:rsid w:val="00F579C3"/>
    <w:rsid w:val="00F66DCA"/>
    <w:rsid w:val="00F74F53"/>
    <w:rsid w:val="00F7606D"/>
    <w:rsid w:val="00F81670"/>
    <w:rsid w:val="00F82024"/>
    <w:rsid w:val="00F913EC"/>
    <w:rsid w:val="00F95BC9"/>
    <w:rsid w:val="00F9758A"/>
    <w:rsid w:val="00FA026E"/>
    <w:rsid w:val="00FA03DB"/>
    <w:rsid w:val="00FA3EB4"/>
    <w:rsid w:val="00FA571A"/>
    <w:rsid w:val="00FA624C"/>
    <w:rsid w:val="00FD0FAC"/>
    <w:rsid w:val="00FD1DFA"/>
    <w:rsid w:val="00FD2B2C"/>
    <w:rsid w:val="00FD4966"/>
    <w:rsid w:val="00FE57DC"/>
    <w:rsid w:val="00FF7C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11A0915C"/>
  <w15:docId w15:val="{5EE98546-AB92-445F-8C37-B86DC43A3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643B9"/>
    <w:pPr>
      <w:spacing w:after="120"/>
    </w:pPr>
    <w:rPr>
      <w:color w:val="000000"/>
      <w:sz w:val="24"/>
      <w:szCs w:val="24"/>
    </w:rPr>
  </w:style>
  <w:style w:type="paragraph" w:styleId="Heading1">
    <w:name w:val="heading 1"/>
    <w:aliases w:val="aHeading"/>
    <w:basedOn w:val="Normal"/>
    <w:next w:val="Normal"/>
    <w:link w:val="Heading1Char"/>
    <w:qFormat/>
    <w:rsid w:val="00404032"/>
    <w:pPr>
      <w:spacing w:before="240"/>
      <w:outlineLvl w:val="0"/>
    </w:pPr>
    <w:rPr>
      <w:b/>
    </w:rPr>
  </w:style>
  <w:style w:type="paragraph" w:styleId="Heading2">
    <w:name w:val="heading 2"/>
    <w:aliases w:val="Sub-heading"/>
    <w:basedOn w:val="Normal"/>
    <w:next w:val="Normal"/>
    <w:qFormat/>
    <w:rsid w:val="00404032"/>
    <w:pPr>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A6D2F"/>
    <w:pPr>
      <w:tabs>
        <w:tab w:val="center" w:pos="4153"/>
        <w:tab w:val="right" w:pos="8306"/>
      </w:tabs>
    </w:pPr>
    <w:rPr>
      <w:sz w:val="18"/>
    </w:rPr>
  </w:style>
  <w:style w:type="paragraph" w:styleId="Footer">
    <w:name w:val="footer"/>
    <w:aliases w:val="zzFooter"/>
    <w:basedOn w:val="Normal"/>
    <w:rsid w:val="004A6D2F"/>
    <w:pPr>
      <w:tabs>
        <w:tab w:val="center" w:pos="4153"/>
        <w:tab w:val="right" w:pos="8306"/>
      </w:tabs>
    </w:pPr>
    <w:rPr>
      <w:sz w:val="18"/>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numbering" w:customStyle="1" w:styleId="StyleBulletedSymbolsymbolLeft063cmHanging063cm">
    <w:name w:val="Style Bulleted Symbol (symbol) Left:  0.63 cm Hanging:  0.63 cm"/>
    <w:basedOn w:val="NoList"/>
    <w:rsid w:val="00E818D6"/>
    <w:pPr>
      <w:numPr>
        <w:numId w:val="16"/>
      </w:numPr>
    </w:pPr>
  </w:style>
  <w:style w:type="character" w:styleId="PageNumber">
    <w:name w:val="page number"/>
    <w:rsid w:val="004A6D2F"/>
    <w:rPr>
      <w:rFonts w:ascii="Arial" w:hAnsi="Arial"/>
      <w:sz w:val="18"/>
    </w:rPr>
  </w:style>
  <w:style w:type="character" w:styleId="Hyperlink">
    <w:name w:val="Hyperlink"/>
    <w:aliases w:val="set Hyperlink"/>
    <w:qFormat/>
    <w:rsid w:val="003D2574"/>
    <w:rPr>
      <w:rFonts w:ascii="Arial" w:hAnsi="Arial"/>
      <w:color w:val="0000FF"/>
      <w:sz w:val="24"/>
      <w:u w:val="single"/>
    </w:rPr>
  </w:style>
  <w:style w:type="table" w:styleId="TableGrid">
    <w:name w:val="Table Grid"/>
    <w:basedOn w:val="TableNormal"/>
    <w:rsid w:val="001A0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rsid w:val="00E96BD7"/>
    <w:pPr>
      <w:spacing w:after="120"/>
    </w:pPr>
    <w:rPr>
      <w:color w:val="000000"/>
      <w:sz w:val="24"/>
      <w:szCs w:val="24"/>
      <w:lang w:eastAsia="en-US"/>
    </w:rPr>
  </w:style>
  <w:style w:type="paragraph" w:styleId="ListParagraph">
    <w:name w:val="List Paragraph"/>
    <w:basedOn w:val="Normal"/>
    <w:link w:val="ListParagraphChar"/>
    <w:uiPriority w:val="34"/>
    <w:qFormat/>
    <w:rsid w:val="005570B5"/>
    <w:pPr>
      <w:numPr>
        <w:numId w:val="14"/>
      </w:numPr>
      <w:tabs>
        <w:tab w:val="left" w:pos="426"/>
      </w:tabs>
      <w:ind w:left="426" w:hanging="426"/>
    </w:pPr>
  </w:style>
  <w:style w:type="character" w:customStyle="1" w:styleId="HeaderChar">
    <w:name w:val="Header Char"/>
    <w:link w:val="Header"/>
    <w:uiPriority w:val="99"/>
    <w:rsid w:val="004A6D2F"/>
    <w:rPr>
      <w:rFonts w:ascii="Arial" w:hAnsi="Arial"/>
      <w:bCs/>
      <w:color w:val="000000"/>
      <w:sz w:val="18"/>
      <w:szCs w:val="24"/>
      <w:lang w:eastAsia="en-US"/>
    </w:rPr>
  </w:style>
  <w:style w:type="table" w:styleId="LightList-Accent2">
    <w:name w:val="Light List Accent 2"/>
    <w:basedOn w:val="TableNormal"/>
    <w:uiPriority w:val="61"/>
    <w:rsid w:val="00421CB2"/>
    <w:rPr>
      <w:rFonts w:eastAsia="Calibri" w:cs="Arial"/>
      <w:sz w:val="24"/>
      <w:szCs w:val="24"/>
      <w:lang w:eastAsia="en-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Shading-Accent2">
    <w:name w:val="Light Shading Accent 2"/>
    <w:basedOn w:val="TableNormal"/>
    <w:uiPriority w:val="60"/>
    <w:rsid w:val="00CB6B99"/>
    <w:rPr>
      <w:rFonts w:eastAsia="Calibri" w:cs="Arial"/>
      <w:color w:val="943634"/>
      <w:sz w:val="24"/>
      <w:szCs w:val="24"/>
      <w:lang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Revision">
    <w:name w:val="Revision"/>
    <w:hidden/>
    <w:uiPriority w:val="99"/>
    <w:semiHidden/>
    <w:rsid w:val="009034EC"/>
    <w:pPr>
      <w:spacing w:after="120"/>
    </w:pPr>
    <w:rPr>
      <w:color w:val="000000"/>
      <w:sz w:val="24"/>
      <w:szCs w:val="24"/>
      <w:lang w:eastAsia="en-US"/>
    </w:rPr>
  </w:style>
  <w:style w:type="paragraph" w:customStyle="1" w:styleId="Tableandfigurecaption">
    <w:name w:val="Table and figure caption"/>
    <w:basedOn w:val="Heading2"/>
    <w:rsid w:val="00692627"/>
    <w:pPr>
      <w:ind w:left="360"/>
    </w:pPr>
    <w:rPr>
      <w:bCs/>
      <w:szCs w:val="20"/>
    </w:rPr>
  </w:style>
  <w:style w:type="numbering" w:customStyle="1" w:styleId="StyleNumberedLeft0cmHanging075cm">
    <w:name w:val="Style Numbered Left:  0 cm Hanging:  0.75 cm"/>
    <w:basedOn w:val="NoList"/>
    <w:rsid w:val="00E818D6"/>
    <w:pPr>
      <w:numPr>
        <w:numId w:val="13"/>
      </w:numPr>
    </w:pPr>
  </w:style>
  <w:style w:type="paragraph" w:customStyle="1" w:styleId="Bulletpoints">
    <w:name w:val="Bullet points"/>
    <w:basedOn w:val="Normal"/>
    <w:link w:val="BulletpointsChar"/>
    <w:qFormat/>
    <w:rsid w:val="005570B5"/>
    <w:pPr>
      <w:numPr>
        <w:numId w:val="15"/>
      </w:numPr>
      <w:tabs>
        <w:tab w:val="left" w:pos="993"/>
      </w:tabs>
    </w:pPr>
  </w:style>
  <w:style w:type="paragraph" w:styleId="Quote">
    <w:name w:val="Quote"/>
    <w:basedOn w:val="Normal"/>
    <w:next w:val="Normal"/>
    <w:link w:val="QuoteChar"/>
    <w:uiPriority w:val="29"/>
    <w:qFormat/>
    <w:rsid w:val="004A6D2F"/>
    <w:rPr>
      <w:i/>
      <w:iCs/>
    </w:rPr>
  </w:style>
  <w:style w:type="character" w:customStyle="1" w:styleId="BulletpointsChar">
    <w:name w:val="Bullet points Char"/>
    <w:link w:val="Bulletpoints"/>
    <w:rsid w:val="005570B5"/>
    <w:rPr>
      <w:color w:val="000000"/>
      <w:sz w:val="24"/>
      <w:szCs w:val="24"/>
    </w:rPr>
  </w:style>
  <w:style w:type="character" w:customStyle="1" w:styleId="QuoteChar">
    <w:name w:val="Quote Char"/>
    <w:link w:val="Quote"/>
    <w:uiPriority w:val="29"/>
    <w:rsid w:val="004A6D2F"/>
    <w:rPr>
      <w:rFonts w:ascii="Arial" w:hAnsi="Arial"/>
      <w:i/>
      <w:iCs/>
      <w:color w:val="000000"/>
      <w:sz w:val="24"/>
      <w:szCs w:val="24"/>
      <w:lang w:eastAsia="en-US"/>
    </w:rPr>
  </w:style>
  <w:style w:type="character" w:customStyle="1" w:styleId="Firstpagetablebold">
    <w:name w:val="First page table: bold"/>
    <w:qFormat/>
    <w:rsid w:val="005D1E27"/>
    <w:rPr>
      <w:rFonts w:ascii="Arial" w:hAnsi="Arial"/>
      <w:b/>
      <w:sz w:val="24"/>
    </w:rPr>
  </w:style>
  <w:style w:type="paragraph" w:customStyle="1" w:styleId="bParagraphtext">
    <w:name w:val="bParagraph text"/>
    <w:basedOn w:val="ListParagraph"/>
    <w:link w:val="bParagraphtextChar"/>
    <w:qFormat/>
    <w:rsid w:val="004268B9"/>
    <w:pPr>
      <w:ind w:left="360" w:hanging="360"/>
    </w:pPr>
  </w:style>
  <w:style w:type="paragraph" w:styleId="Caption">
    <w:name w:val="caption"/>
    <w:basedOn w:val="Normal"/>
    <w:next w:val="Normal"/>
    <w:unhideWhenUsed/>
    <w:qFormat/>
    <w:rsid w:val="0093067A"/>
    <w:pPr>
      <w:spacing w:before="120"/>
      <w:jc w:val="center"/>
    </w:pPr>
    <w:rPr>
      <w:b/>
      <w:bCs/>
      <w:sz w:val="20"/>
      <w:szCs w:val="20"/>
    </w:rPr>
  </w:style>
  <w:style w:type="character" w:customStyle="1" w:styleId="ListParagraphChar">
    <w:name w:val="List Paragraph Char"/>
    <w:link w:val="ListParagraph"/>
    <w:uiPriority w:val="34"/>
    <w:rsid w:val="005570B5"/>
    <w:rPr>
      <w:color w:val="000000"/>
      <w:sz w:val="24"/>
      <w:szCs w:val="24"/>
    </w:rPr>
  </w:style>
  <w:style w:type="character" w:customStyle="1" w:styleId="bParagraphtextChar">
    <w:name w:val="bParagraph text Char"/>
    <w:link w:val="bParagraphtext"/>
    <w:rsid w:val="005570B5"/>
    <w:rPr>
      <w:color w:val="000000"/>
      <w:sz w:val="24"/>
      <w:szCs w:val="24"/>
    </w:rPr>
  </w:style>
  <w:style w:type="paragraph" w:customStyle="1" w:styleId="Numberedlist">
    <w:name w:val="Numbered list"/>
    <w:basedOn w:val="Bulletpoints"/>
    <w:link w:val="NumberedlistChar"/>
    <w:qFormat/>
    <w:rsid w:val="004738C5"/>
    <w:pPr>
      <w:numPr>
        <w:numId w:val="23"/>
      </w:numPr>
      <w:ind w:left="993" w:hanging="426"/>
    </w:pPr>
  </w:style>
  <w:style w:type="character" w:customStyle="1" w:styleId="Heading1Char">
    <w:name w:val="Heading 1 Char"/>
    <w:aliases w:val="aHeading Char"/>
    <w:link w:val="Heading1"/>
    <w:rsid w:val="0050321C"/>
    <w:rPr>
      <w:rFonts w:ascii="Arial" w:hAnsi="Arial"/>
      <w:b/>
      <w:bCs/>
      <w:color w:val="000000"/>
      <w:sz w:val="24"/>
      <w:szCs w:val="24"/>
      <w:lang w:eastAsia="en-US"/>
    </w:rPr>
  </w:style>
  <w:style w:type="paragraph" w:styleId="TOAHeading">
    <w:name w:val="toa heading"/>
    <w:basedOn w:val="Normal"/>
    <w:next w:val="Normal"/>
    <w:rsid w:val="005570B5"/>
    <w:pPr>
      <w:spacing w:before="120"/>
    </w:pPr>
    <w:rPr>
      <w:rFonts w:ascii="Cambria" w:hAnsi="Cambria"/>
      <w:b/>
      <w:bCs/>
    </w:rPr>
  </w:style>
  <w:style w:type="character" w:customStyle="1" w:styleId="NumberedlistChar">
    <w:name w:val="Numbered list Char"/>
    <w:link w:val="Numberedlist"/>
    <w:rsid w:val="004738C5"/>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970471">
      <w:bodyDiv w:val="1"/>
      <w:marLeft w:val="0"/>
      <w:marRight w:val="0"/>
      <w:marTop w:val="0"/>
      <w:marBottom w:val="0"/>
      <w:divBdr>
        <w:top w:val="none" w:sz="0" w:space="0" w:color="auto"/>
        <w:left w:val="none" w:sz="0" w:space="0" w:color="auto"/>
        <w:bottom w:val="none" w:sz="0" w:space="0" w:color="auto"/>
        <w:right w:val="none" w:sz="0" w:space="0" w:color="auto"/>
      </w:divBdr>
    </w:div>
    <w:div w:id="255987371">
      <w:bodyDiv w:val="1"/>
      <w:marLeft w:val="0"/>
      <w:marRight w:val="0"/>
      <w:marTop w:val="0"/>
      <w:marBottom w:val="0"/>
      <w:divBdr>
        <w:top w:val="none" w:sz="0" w:space="0" w:color="auto"/>
        <w:left w:val="none" w:sz="0" w:space="0" w:color="auto"/>
        <w:bottom w:val="none" w:sz="0" w:space="0" w:color="auto"/>
        <w:right w:val="none" w:sz="0" w:space="0" w:color="auto"/>
      </w:divBdr>
    </w:div>
    <w:div w:id="261574074">
      <w:bodyDiv w:val="1"/>
      <w:marLeft w:val="0"/>
      <w:marRight w:val="0"/>
      <w:marTop w:val="0"/>
      <w:marBottom w:val="0"/>
      <w:divBdr>
        <w:top w:val="none" w:sz="0" w:space="0" w:color="auto"/>
        <w:left w:val="none" w:sz="0" w:space="0" w:color="auto"/>
        <w:bottom w:val="none" w:sz="0" w:space="0" w:color="auto"/>
        <w:right w:val="none" w:sz="0" w:space="0" w:color="auto"/>
      </w:divBdr>
    </w:div>
    <w:div w:id="373189891">
      <w:bodyDiv w:val="1"/>
      <w:marLeft w:val="0"/>
      <w:marRight w:val="0"/>
      <w:marTop w:val="0"/>
      <w:marBottom w:val="0"/>
      <w:divBdr>
        <w:top w:val="none" w:sz="0" w:space="0" w:color="auto"/>
        <w:left w:val="none" w:sz="0" w:space="0" w:color="auto"/>
        <w:bottom w:val="none" w:sz="0" w:space="0" w:color="auto"/>
        <w:right w:val="none" w:sz="0" w:space="0" w:color="auto"/>
      </w:divBdr>
    </w:div>
    <w:div w:id="565995746">
      <w:bodyDiv w:val="1"/>
      <w:marLeft w:val="0"/>
      <w:marRight w:val="0"/>
      <w:marTop w:val="0"/>
      <w:marBottom w:val="0"/>
      <w:divBdr>
        <w:top w:val="none" w:sz="0" w:space="0" w:color="auto"/>
        <w:left w:val="none" w:sz="0" w:space="0" w:color="auto"/>
        <w:bottom w:val="none" w:sz="0" w:space="0" w:color="auto"/>
        <w:right w:val="none" w:sz="0" w:space="0" w:color="auto"/>
      </w:divBdr>
    </w:div>
    <w:div w:id="652947409">
      <w:bodyDiv w:val="1"/>
      <w:marLeft w:val="0"/>
      <w:marRight w:val="0"/>
      <w:marTop w:val="0"/>
      <w:marBottom w:val="0"/>
      <w:divBdr>
        <w:top w:val="none" w:sz="0" w:space="0" w:color="auto"/>
        <w:left w:val="none" w:sz="0" w:space="0" w:color="auto"/>
        <w:bottom w:val="none" w:sz="0" w:space="0" w:color="auto"/>
        <w:right w:val="none" w:sz="0" w:space="0" w:color="auto"/>
      </w:divBdr>
    </w:div>
    <w:div w:id="674767497">
      <w:bodyDiv w:val="1"/>
      <w:marLeft w:val="0"/>
      <w:marRight w:val="0"/>
      <w:marTop w:val="0"/>
      <w:marBottom w:val="0"/>
      <w:divBdr>
        <w:top w:val="none" w:sz="0" w:space="0" w:color="auto"/>
        <w:left w:val="none" w:sz="0" w:space="0" w:color="auto"/>
        <w:bottom w:val="none" w:sz="0" w:space="0" w:color="auto"/>
        <w:right w:val="none" w:sz="0" w:space="0" w:color="auto"/>
      </w:divBdr>
    </w:div>
    <w:div w:id="715664606">
      <w:bodyDiv w:val="1"/>
      <w:marLeft w:val="0"/>
      <w:marRight w:val="0"/>
      <w:marTop w:val="0"/>
      <w:marBottom w:val="0"/>
      <w:divBdr>
        <w:top w:val="none" w:sz="0" w:space="0" w:color="auto"/>
        <w:left w:val="none" w:sz="0" w:space="0" w:color="auto"/>
        <w:bottom w:val="none" w:sz="0" w:space="0" w:color="auto"/>
        <w:right w:val="none" w:sz="0" w:space="0" w:color="auto"/>
      </w:divBdr>
    </w:div>
    <w:div w:id="896626785">
      <w:bodyDiv w:val="1"/>
      <w:marLeft w:val="0"/>
      <w:marRight w:val="0"/>
      <w:marTop w:val="0"/>
      <w:marBottom w:val="0"/>
      <w:divBdr>
        <w:top w:val="none" w:sz="0" w:space="0" w:color="auto"/>
        <w:left w:val="none" w:sz="0" w:space="0" w:color="auto"/>
        <w:bottom w:val="none" w:sz="0" w:space="0" w:color="auto"/>
        <w:right w:val="none" w:sz="0" w:space="0" w:color="auto"/>
      </w:divBdr>
    </w:div>
    <w:div w:id="1234318887">
      <w:bodyDiv w:val="1"/>
      <w:marLeft w:val="0"/>
      <w:marRight w:val="0"/>
      <w:marTop w:val="0"/>
      <w:marBottom w:val="0"/>
      <w:divBdr>
        <w:top w:val="none" w:sz="0" w:space="0" w:color="auto"/>
        <w:left w:val="none" w:sz="0" w:space="0" w:color="auto"/>
        <w:bottom w:val="none" w:sz="0" w:space="0" w:color="auto"/>
        <w:right w:val="none" w:sz="0" w:space="0" w:color="auto"/>
      </w:divBdr>
    </w:div>
    <w:div w:id="1343970612">
      <w:bodyDiv w:val="1"/>
      <w:marLeft w:val="0"/>
      <w:marRight w:val="0"/>
      <w:marTop w:val="0"/>
      <w:marBottom w:val="0"/>
      <w:divBdr>
        <w:top w:val="none" w:sz="0" w:space="0" w:color="auto"/>
        <w:left w:val="none" w:sz="0" w:space="0" w:color="auto"/>
        <w:bottom w:val="none" w:sz="0" w:space="0" w:color="auto"/>
        <w:right w:val="none" w:sz="0" w:space="0" w:color="auto"/>
      </w:divBdr>
    </w:div>
    <w:div w:id="1464349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rtaylor@oxford.gov.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5.emf"/><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D7BD3E2B40EE4B99233DA35941ABA9" ma:contentTypeVersion="2" ma:contentTypeDescription="Create a new document." ma:contentTypeScope="" ma:versionID="895af6ef96fcc1cbabbdf95133144ad3">
  <xsd:schema xmlns:xsd="http://www.w3.org/2001/XMLSchema" xmlns:xs="http://www.w3.org/2001/XMLSchema" xmlns:p="http://schemas.microsoft.com/office/2006/metadata/properties" xmlns:ns2="fdb8f1d2-729e-4e17-b922-d1876d49c6d9" targetNamespace="http://schemas.microsoft.com/office/2006/metadata/properties" ma:root="true" ma:fieldsID="0fdd767a2e81157f99857a0e1af04e18" ns2:_="">
    <xsd:import namespace="fdb8f1d2-729e-4e17-b922-d1876d49c6d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b8f1d2-729e-4e17-b922-d1876d49c6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A8C5F3-9895-493B-BD33-3D953D61C1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b8f1d2-729e-4e17-b922-d1876d49c6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7D755B-781C-49F0-925A-074BA5E55CF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C67E460-EE8C-47E7-942A-D767823043E6}">
  <ds:schemaRefs>
    <ds:schemaRef ds:uri="http://schemas.microsoft.com/sharepoint/v3/contenttype/forms"/>
  </ds:schemaRefs>
</ds:datastoreItem>
</file>

<file path=customXml/itemProps4.xml><?xml version="1.0" encoding="utf-8"?>
<ds:datastoreItem xmlns:ds="http://schemas.openxmlformats.org/officeDocument/2006/customXml" ds:itemID="{FC992703-CA56-406D-AAC8-BFB3168B7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10</Pages>
  <Words>2587</Words>
  <Characters>12986</Characters>
  <Application>Microsoft Office Word</Application>
  <DocSecurity>0</DocSecurity>
  <Lines>108</Lines>
  <Paragraphs>31</Paragraphs>
  <ScaleCrop>false</ScaleCrop>
  <HeadingPairs>
    <vt:vector size="2" baseType="variant">
      <vt:variant>
        <vt:lpstr>Title</vt:lpstr>
      </vt:variant>
      <vt:variant>
        <vt:i4>1</vt:i4>
      </vt:variant>
    </vt:vector>
  </HeadingPairs>
  <TitlesOfParts>
    <vt:vector size="1" baseType="lpstr">
      <vt:lpstr/>
    </vt:vector>
  </TitlesOfParts>
  <Company>Oxford City Council</Company>
  <LinksUpToDate>false</LinksUpToDate>
  <CharactersWithSpaces>15542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dc:creator>
  <cp:lastModifiedBy>TAYLOR Ryan</cp:lastModifiedBy>
  <cp:revision>4</cp:revision>
  <cp:lastPrinted>2015-07-03T12:50:00Z</cp:lastPrinted>
  <dcterms:created xsi:type="dcterms:W3CDTF">2025-01-08T08:23:00Z</dcterms:created>
  <dcterms:modified xsi:type="dcterms:W3CDTF">2025-01-08T10:13:00Z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0x01010045D7BD3E2B40EE4B99233DA35941ABA9</vt:lpwstr>
  </property>
</Properties>
</file>